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napToGrid w:val="0"/>
        <w:spacing w:before="156" w:beforeLines="50" w:after="156" w:afterLines="50" w:line="360" w:lineRule="auto"/>
        <w:ind w:firstLine="0" w:firstLineChars="0"/>
        <w:rPr>
          <w:rFonts w:ascii="Times New Roman" w:hAnsi="Times New Roman"/>
          <w:b/>
        </w:rPr>
      </w:pPr>
      <w:r>
        <w:rPr>
          <w:rFonts w:hint="eastAsia" w:ascii="方正小标宋简体" w:hAnsi="Times New Roman" w:eastAsia="方正小标宋简体"/>
          <w:b/>
        </w:rPr>
        <w:t>附件</w:t>
      </w:r>
      <w:r>
        <w:rPr>
          <w:rFonts w:ascii="Times New Roman" w:hAnsi="Times New Roman"/>
          <w:b/>
        </w:rPr>
        <w:t xml:space="preserve">2 </w:t>
      </w:r>
    </w:p>
    <w:p>
      <w:pPr>
        <w:overflowPunct w:val="0"/>
        <w:snapToGrid w:val="0"/>
        <w:spacing w:before="156" w:beforeLines="50" w:after="156" w:afterLines="50" w:line="360" w:lineRule="auto"/>
        <w:ind w:firstLine="0" w:firstLineChars="0"/>
        <w:rPr>
          <w:rFonts w:ascii="Times New Roman" w:hAnsi="Times New Roman"/>
          <w:b/>
        </w:rPr>
      </w:pPr>
    </w:p>
    <w:p>
      <w:pPr>
        <w:overflowPunct w:val="0"/>
        <w:snapToGrid w:val="0"/>
        <w:spacing w:before="156" w:beforeLines="50" w:line="360" w:lineRule="auto"/>
        <w:ind w:firstLine="0" w:firstLineChars="0"/>
        <w:jc w:val="center"/>
        <w:rPr>
          <w:rFonts w:ascii="Times New Roman" w:hAnsi="Times New Roman" w:eastAsia="方正小标宋简体"/>
          <w:sz w:val="44"/>
          <w:szCs w:val="44"/>
        </w:rPr>
      </w:pPr>
      <w:r>
        <w:rPr>
          <w:rFonts w:hint="eastAsia" w:ascii="Times New Roman" w:hAnsi="Times New Roman" w:eastAsia="方正小标宋简体"/>
          <w:sz w:val="44"/>
          <w:szCs w:val="44"/>
        </w:rPr>
        <w:t>部无车</w:t>
      </w:r>
      <w:bookmarkStart w:id="22" w:name="_GoBack"/>
      <w:bookmarkEnd w:id="22"/>
      <w:r>
        <w:rPr>
          <w:rFonts w:hint="eastAsia" w:ascii="Times New Roman" w:hAnsi="Times New Roman" w:eastAsia="方正小标宋简体"/>
          <w:sz w:val="44"/>
          <w:szCs w:val="44"/>
        </w:rPr>
        <w:t>承运试点企业运行监测平台</w:t>
      </w:r>
    </w:p>
    <w:p>
      <w:pPr>
        <w:overflowPunct w:val="0"/>
        <w:snapToGrid w:val="0"/>
        <w:spacing w:line="360" w:lineRule="auto"/>
        <w:ind w:firstLine="0" w:firstLineChars="0"/>
        <w:jc w:val="center"/>
        <w:rPr>
          <w:rFonts w:ascii="Times New Roman" w:hAnsi="Times New Roman" w:eastAsia="方正小标宋简体"/>
          <w:sz w:val="44"/>
          <w:szCs w:val="44"/>
        </w:rPr>
      </w:pPr>
      <w:r>
        <w:rPr>
          <w:rFonts w:hint="eastAsia" w:ascii="Times New Roman" w:hAnsi="Times New Roman" w:eastAsia="方正小标宋简体"/>
          <w:sz w:val="44"/>
          <w:szCs w:val="44"/>
        </w:rPr>
        <w:t>接入指南</w:t>
      </w:r>
    </w:p>
    <w:p>
      <w:pPr>
        <w:overflowPunct w:val="0"/>
        <w:snapToGrid w:val="0"/>
        <w:spacing w:before="156" w:beforeLines="50" w:after="156" w:afterLines="50" w:line="360" w:lineRule="auto"/>
        <w:ind w:firstLine="0" w:firstLineChars="0"/>
        <w:rPr>
          <w:rFonts w:ascii="Times New Roman" w:hAnsi="Times New Roman" w:eastAsia="黑体"/>
          <w:sz w:val="48"/>
          <w:szCs w:val="48"/>
        </w:rPr>
      </w:pPr>
    </w:p>
    <w:p>
      <w:pPr>
        <w:overflowPunct w:val="0"/>
        <w:snapToGrid w:val="0"/>
        <w:spacing w:before="156" w:beforeLines="50" w:after="156" w:afterLines="50" w:line="360" w:lineRule="auto"/>
        <w:ind w:firstLine="0" w:firstLineChars="0"/>
        <w:rPr>
          <w:rFonts w:ascii="Times New Roman" w:hAnsi="Times New Roman" w:eastAsia="黑体"/>
          <w:sz w:val="48"/>
          <w:szCs w:val="48"/>
        </w:rPr>
      </w:pPr>
    </w:p>
    <w:p>
      <w:pPr>
        <w:overflowPunct w:val="0"/>
        <w:snapToGrid w:val="0"/>
        <w:spacing w:before="156" w:beforeLines="50" w:after="156" w:afterLines="50" w:line="360" w:lineRule="auto"/>
        <w:ind w:firstLine="0" w:firstLineChars="0"/>
        <w:rPr>
          <w:rFonts w:ascii="Times New Roman" w:hAnsi="Times New Roman" w:eastAsia="黑体"/>
          <w:sz w:val="48"/>
          <w:szCs w:val="48"/>
        </w:rPr>
      </w:pPr>
    </w:p>
    <w:p>
      <w:pPr>
        <w:overflowPunct w:val="0"/>
        <w:snapToGrid w:val="0"/>
        <w:spacing w:before="156" w:beforeLines="50" w:after="156" w:afterLines="50" w:line="360" w:lineRule="auto"/>
        <w:ind w:firstLine="0" w:firstLineChars="0"/>
        <w:rPr>
          <w:rFonts w:ascii="Times New Roman" w:hAnsi="Times New Roman" w:eastAsia="黑体"/>
          <w:sz w:val="48"/>
          <w:szCs w:val="48"/>
        </w:rPr>
      </w:pPr>
    </w:p>
    <w:p>
      <w:pPr>
        <w:overflowPunct w:val="0"/>
        <w:snapToGrid w:val="0"/>
        <w:spacing w:before="156" w:beforeLines="50" w:after="156" w:afterLines="50" w:line="360" w:lineRule="auto"/>
        <w:ind w:firstLine="0" w:firstLineChars="0"/>
        <w:rPr>
          <w:rFonts w:ascii="Times New Roman" w:hAnsi="Times New Roman" w:eastAsia="黑体"/>
          <w:sz w:val="48"/>
          <w:szCs w:val="48"/>
        </w:rPr>
      </w:pPr>
    </w:p>
    <w:p>
      <w:pPr>
        <w:overflowPunct w:val="0"/>
        <w:snapToGrid w:val="0"/>
        <w:spacing w:before="156" w:beforeLines="50" w:after="156" w:afterLines="50" w:line="360" w:lineRule="auto"/>
        <w:ind w:firstLine="0" w:firstLineChars="0"/>
        <w:rPr>
          <w:rFonts w:ascii="Times New Roman" w:hAnsi="Times New Roman" w:eastAsia="黑体"/>
          <w:sz w:val="48"/>
          <w:szCs w:val="48"/>
        </w:rPr>
      </w:pPr>
    </w:p>
    <w:p>
      <w:pPr>
        <w:overflowPunct w:val="0"/>
        <w:snapToGrid w:val="0"/>
        <w:spacing w:before="156" w:beforeLines="50" w:after="156" w:afterLines="50" w:line="360" w:lineRule="auto"/>
        <w:ind w:firstLine="0" w:firstLineChars="0"/>
        <w:rPr>
          <w:rFonts w:ascii="Times New Roman" w:hAnsi="Times New Roman" w:eastAsia="黑体"/>
          <w:sz w:val="48"/>
          <w:szCs w:val="48"/>
        </w:rPr>
      </w:pPr>
    </w:p>
    <w:p>
      <w:pPr>
        <w:overflowPunct w:val="0"/>
        <w:snapToGrid w:val="0"/>
        <w:spacing w:before="156" w:beforeLines="50" w:after="156" w:afterLines="50" w:line="360" w:lineRule="auto"/>
        <w:ind w:firstLine="0" w:firstLineChars="0"/>
        <w:rPr>
          <w:rFonts w:ascii="Times New Roman" w:hAnsi="Times New Roman" w:eastAsia="黑体"/>
          <w:sz w:val="48"/>
          <w:szCs w:val="48"/>
        </w:rPr>
      </w:pPr>
    </w:p>
    <w:p>
      <w:pPr>
        <w:overflowPunct w:val="0"/>
        <w:snapToGrid w:val="0"/>
        <w:spacing w:line="360" w:lineRule="auto"/>
        <w:ind w:firstLine="0" w:firstLineChars="0"/>
        <w:jc w:val="center"/>
        <w:rPr>
          <w:rFonts w:ascii="Times New Roman" w:hAnsi="Times New Roman" w:eastAsia="黑体"/>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701" w:header="992" w:footer="992" w:gutter="0"/>
          <w:cols w:space="425" w:num="1"/>
          <w:docGrid w:type="linesAndChars" w:linePitch="312" w:charSpace="0"/>
        </w:sectPr>
      </w:pPr>
      <w:r>
        <w:rPr>
          <w:rFonts w:ascii="Times New Roman" w:hAnsi="Times New Roman" w:eastAsia="黑体"/>
          <w:sz w:val="36"/>
          <w:szCs w:val="36"/>
        </w:rPr>
        <w:t>2017</w:t>
      </w:r>
      <w:r>
        <w:rPr>
          <w:rFonts w:hint="eastAsia" w:ascii="Times New Roman" w:hAnsi="Times New Roman" w:eastAsia="黑体"/>
          <w:sz w:val="36"/>
          <w:szCs w:val="36"/>
        </w:rPr>
        <w:t>年3月</w:t>
      </w:r>
    </w:p>
    <w:p>
      <w:pPr>
        <w:overflowPunct w:val="0"/>
        <w:snapToGrid w:val="0"/>
        <w:spacing w:line="360" w:lineRule="auto"/>
        <w:ind w:firstLine="0" w:firstLineChars="0"/>
        <w:jc w:val="center"/>
        <w:rPr>
          <w:rFonts w:ascii="黑体" w:hAnsi="黑体" w:eastAsia="黑体"/>
          <w:b/>
        </w:rPr>
      </w:pPr>
      <w:r>
        <w:rPr>
          <w:rFonts w:hint="eastAsia" w:ascii="黑体" w:hAnsi="黑体" w:eastAsia="黑体"/>
          <w:b/>
        </w:rPr>
        <w:t>目</w:t>
      </w:r>
      <w:r>
        <w:rPr>
          <w:rFonts w:ascii="黑体" w:hAnsi="黑体" w:eastAsia="黑体"/>
          <w:b/>
        </w:rPr>
        <w:t xml:space="preserve"> </w:t>
      </w:r>
      <w:r>
        <w:rPr>
          <w:rFonts w:hint="eastAsia" w:ascii="黑体" w:hAnsi="黑体" w:eastAsia="黑体"/>
          <w:b/>
        </w:rPr>
        <w:t>录</w:t>
      </w:r>
    </w:p>
    <w:p>
      <w:pPr>
        <w:pStyle w:val="17"/>
        <w:tabs>
          <w:tab w:val="right" w:leader="dot" w:pos="8777"/>
        </w:tabs>
        <w:ind w:left="0" w:leftChars="0" w:firstLine="0" w:firstLineChars="0"/>
        <w:rPr>
          <w:rFonts w:ascii="仿宋_GB2312"/>
          <w:b w:val="0"/>
          <w:bCs w:val="0"/>
          <w:caps w:val="0"/>
          <w:sz w:val="28"/>
          <w:szCs w:val="28"/>
        </w:rPr>
      </w:pPr>
      <w:r>
        <w:rPr>
          <w:rFonts w:hint="eastAsia" w:ascii="仿宋_GB2312" w:hAnsi="Times New Roman"/>
          <w:b w:val="0"/>
          <w:bCs w:val="0"/>
          <w:caps w:val="0"/>
          <w:sz w:val="28"/>
          <w:szCs w:val="28"/>
          <w:lang w:val="en-US" w:eastAsia="zh-CN"/>
        </w:rPr>
        <w:t xml:space="preserve">   </w:t>
      </w:r>
      <w:r>
        <w:rPr>
          <w:rFonts w:hint="eastAsia" w:ascii="仿宋_GB2312" w:hAnsi="Times New Roman"/>
          <w:b w:val="0"/>
          <w:bCs w:val="0"/>
          <w:caps w:val="0"/>
          <w:sz w:val="28"/>
          <w:szCs w:val="28"/>
        </w:rPr>
        <w:fldChar w:fldCharType="begin"/>
      </w:r>
      <w:r>
        <w:rPr>
          <w:rFonts w:hint="eastAsia" w:ascii="仿宋_GB2312" w:hAnsi="Times New Roman"/>
          <w:b w:val="0"/>
          <w:bCs w:val="0"/>
          <w:caps w:val="0"/>
          <w:sz w:val="28"/>
          <w:szCs w:val="28"/>
        </w:rPr>
        <w:instrText xml:space="preserve"> TOC \o "1-3" \h \z \u </w:instrText>
      </w:r>
      <w:r>
        <w:rPr>
          <w:rFonts w:hint="eastAsia" w:ascii="仿宋_GB2312" w:hAnsi="Times New Roman"/>
          <w:b w:val="0"/>
          <w:bCs w:val="0"/>
          <w:caps w:val="0"/>
          <w:sz w:val="28"/>
          <w:szCs w:val="28"/>
        </w:rPr>
        <w:fldChar w:fldCharType="separate"/>
      </w:r>
      <w:r>
        <w:fldChar w:fldCharType="begin"/>
      </w:r>
      <w:r>
        <w:instrText xml:space="preserve"> HYPERLINK \l "_Toc476581364" </w:instrText>
      </w:r>
      <w:r>
        <w:fldChar w:fldCharType="separate"/>
      </w:r>
      <w:r>
        <w:rPr>
          <w:rStyle w:val="24"/>
          <w:rFonts w:hint="eastAsia" w:ascii="仿宋_GB2312"/>
          <w:sz w:val="28"/>
          <w:szCs w:val="28"/>
        </w:rPr>
        <w:t>1 概述</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_Toc476581364 \h </w:instrText>
      </w:r>
      <w:r>
        <w:rPr>
          <w:rFonts w:hint="eastAsia" w:ascii="仿宋_GB2312"/>
          <w:sz w:val="28"/>
          <w:szCs w:val="28"/>
        </w:rPr>
        <w:fldChar w:fldCharType="separate"/>
      </w:r>
      <w:r>
        <w:rPr>
          <w:rFonts w:hint="eastAsia" w:ascii="仿宋_GB2312"/>
          <w:sz w:val="28"/>
          <w:szCs w:val="28"/>
        </w:rPr>
        <w:t>1</w:t>
      </w:r>
      <w:r>
        <w:rPr>
          <w:rFonts w:hint="eastAsia" w:ascii="仿宋_GB2312"/>
          <w:sz w:val="28"/>
          <w:szCs w:val="28"/>
        </w:rPr>
        <w:fldChar w:fldCharType="end"/>
      </w:r>
      <w:r>
        <w:rPr>
          <w:rFonts w:hint="eastAsia" w:ascii="仿宋_GB2312"/>
          <w:sz w:val="28"/>
          <w:szCs w:val="28"/>
        </w:rPr>
        <w:fldChar w:fldCharType="end"/>
      </w:r>
    </w:p>
    <w:p>
      <w:pPr>
        <w:pStyle w:val="17"/>
        <w:tabs>
          <w:tab w:val="right" w:leader="dot" w:pos="8777"/>
        </w:tabs>
        <w:ind w:firstLine="402"/>
        <w:rPr>
          <w:rFonts w:ascii="仿宋_GB2312"/>
          <w:b w:val="0"/>
          <w:bCs w:val="0"/>
          <w:caps w:val="0"/>
          <w:sz w:val="28"/>
          <w:szCs w:val="28"/>
        </w:rPr>
      </w:pPr>
      <w:r>
        <w:fldChar w:fldCharType="begin"/>
      </w:r>
      <w:r>
        <w:instrText xml:space="preserve"> HYPERLINK \l "_Toc476581365" </w:instrText>
      </w:r>
      <w:r>
        <w:fldChar w:fldCharType="separate"/>
      </w:r>
      <w:r>
        <w:rPr>
          <w:rStyle w:val="24"/>
          <w:rFonts w:hint="eastAsia" w:ascii="仿宋_GB2312"/>
          <w:sz w:val="28"/>
          <w:szCs w:val="28"/>
        </w:rPr>
        <w:t>2 试点企业接入要求</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_Toc476581365 \h </w:instrText>
      </w:r>
      <w:r>
        <w:rPr>
          <w:rFonts w:hint="eastAsia" w:ascii="仿宋_GB2312"/>
          <w:sz w:val="28"/>
          <w:szCs w:val="28"/>
        </w:rPr>
        <w:fldChar w:fldCharType="separate"/>
      </w:r>
      <w:r>
        <w:rPr>
          <w:rFonts w:hint="eastAsia" w:ascii="仿宋_GB2312"/>
          <w:sz w:val="28"/>
          <w:szCs w:val="28"/>
        </w:rPr>
        <w:t>1</w:t>
      </w:r>
      <w:r>
        <w:rPr>
          <w:rFonts w:hint="eastAsia" w:ascii="仿宋_GB2312"/>
          <w:sz w:val="28"/>
          <w:szCs w:val="28"/>
        </w:rPr>
        <w:fldChar w:fldCharType="end"/>
      </w:r>
      <w:r>
        <w:rPr>
          <w:rFonts w:hint="eastAsia" w:ascii="仿宋_GB2312"/>
          <w:sz w:val="28"/>
          <w:szCs w:val="28"/>
        </w:rPr>
        <w:fldChar w:fldCharType="end"/>
      </w:r>
    </w:p>
    <w:p>
      <w:pPr>
        <w:pStyle w:val="17"/>
        <w:tabs>
          <w:tab w:val="right" w:leader="dot" w:pos="8777"/>
        </w:tabs>
        <w:ind w:firstLine="402"/>
        <w:rPr>
          <w:rFonts w:ascii="仿宋_GB2312"/>
          <w:b w:val="0"/>
          <w:bCs w:val="0"/>
          <w:caps w:val="0"/>
          <w:sz w:val="28"/>
          <w:szCs w:val="28"/>
        </w:rPr>
      </w:pPr>
      <w:r>
        <w:fldChar w:fldCharType="begin"/>
      </w:r>
      <w:r>
        <w:instrText xml:space="preserve"> HYPERLINK \l "_Toc476581366" </w:instrText>
      </w:r>
      <w:r>
        <w:fldChar w:fldCharType="separate"/>
      </w:r>
      <w:r>
        <w:rPr>
          <w:rStyle w:val="24"/>
          <w:rFonts w:hint="eastAsia" w:ascii="仿宋_GB2312"/>
          <w:sz w:val="28"/>
          <w:szCs w:val="28"/>
        </w:rPr>
        <w:t>3 软件接入改造流程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_Toc476581366 \h </w:instrText>
      </w:r>
      <w:r>
        <w:rPr>
          <w:rFonts w:hint="eastAsia" w:ascii="仿宋_GB2312"/>
          <w:sz w:val="28"/>
          <w:szCs w:val="28"/>
        </w:rPr>
        <w:fldChar w:fldCharType="separate"/>
      </w:r>
      <w:r>
        <w:rPr>
          <w:rFonts w:hint="eastAsia" w:ascii="仿宋_GB2312"/>
          <w:sz w:val="28"/>
          <w:szCs w:val="28"/>
        </w:rPr>
        <w:t>2</w:t>
      </w:r>
      <w:r>
        <w:rPr>
          <w:rFonts w:hint="eastAsia" w:ascii="仿宋_GB2312"/>
          <w:sz w:val="28"/>
          <w:szCs w:val="28"/>
        </w:rPr>
        <w:fldChar w:fldCharType="end"/>
      </w:r>
      <w:r>
        <w:rPr>
          <w:rFonts w:hint="eastAsia" w:ascii="仿宋_GB2312"/>
          <w:sz w:val="28"/>
          <w:szCs w:val="28"/>
        </w:rPr>
        <w:fldChar w:fldCharType="end"/>
      </w:r>
    </w:p>
    <w:p>
      <w:pPr>
        <w:pStyle w:val="17"/>
        <w:tabs>
          <w:tab w:val="right" w:leader="dot" w:pos="8777"/>
        </w:tabs>
        <w:ind w:firstLine="402"/>
        <w:rPr>
          <w:rFonts w:ascii="仿宋_GB2312"/>
          <w:b w:val="0"/>
          <w:bCs w:val="0"/>
          <w:caps w:val="0"/>
          <w:sz w:val="28"/>
          <w:szCs w:val="28"/>
        </w:rPr>
      </w:pPr>
      <w:r>
        <w:fldChar w:fldCharType="begin"/>
      </w:r>
      <w:r>
        <w:instrText xml:space="preserve"> HYPERLINK \l "_Toc476581367" </w:instrText>
      </w:r>
      <w:r>
        <w:fldChar w:fldCharType="separate"/>
      </w:r>
      <w:r>
        <w:rPr>
          <w:rStyle w:val="24"/>
          <w:rFonts w:hint="eastAsia" w:ascii="仿宋_GB2312"/>
          <w:sz w:val="28"/>
          <w:szCs w:val="28"/>
        </w:rPr>
        <w:t>4 接入单证规范</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_Toc476581367 \h </w:instrText>
      </w:r>
      <w:r>
        <w:rPr>
          <w:rFonts w:hint="eastAsia" w:ascii="仿宋_GB2312"/>
          <w:sz w:val="28"/>
          <w:szCs w:val="28"/>
        </w:rPr>
        <w:fldChar w:fldCharType="separate"/>
      </w:r>
      <w:r>
        <w:rPr>
          <w:rFonts w:hint="eastAsia" w:ascii="仿宋_GB2312"/>
          <w:sz w:val="28"/>
          <w:szCs w:val="28"/>
        </w:rPr>
        <w:t>2</w:t>
      </w:r>
      <w:r>
        <w:rPr>
          <w:rFonts w:hint="eastAsia" w:ascii="仿宋_GB2312"/>
          <w:sz w:val="28"/>
          <w:szCs w:val="28"/>
        </w:rPr>
        <w:fldChar w:fldCharType="end"/>
      </w:r>
      <w:r>
        <w:rPr>
          <w:rFonts w:hint="eastAsia" w:ascii="仿宋_GB2312"/>
          <w:sz w:val="28"/>
          <w:szCs w:val="28"/>
        </w:rPr>
        <w:fldChar w:fldCharType="end"/>
      </w:r>
    </w:p>
    <w:p>
      <w:pPr>
        <w:pStyle w:val="20"/>
        <w:tabs>
          <w:tab w:val="right" w:leader="dot" w:pos="8777"/>
        </w:tabs>
        <w:ind w:firstLine="400"/>
        <w:rPr>
          <w:rFonts w:ascii="仿宋_GB2312"/>
          <w:smallCaps w:val="0"/>
          <w:sz w:val="28"/>
          <w:szCs w:val="28"/>
        </w:rPr>
      </w:pPr>
      <w:r>
        <w:fldChar w:fldCharType="begin"/>
      </w:r>
      <w:r>
        <w:instrText xml:space="preserve"> HYPERLINK \l "_Toc476581368" </w:instrText>
      </w:r>
      <w:r>
        <w:fldChar w:fldCharType="separate"/>
      </w:r>
      <w:r>
        <w:rPr>
          <w:rStyle w:val="24"/>
          <w:rFonts w:hint="eastAsia" w:ascii="仿宋_GB2312" w:hAnsi="Times New Roman"/>
          <w:sz w:val="28"/>
          <w:szCs w:val="28"/>
        </w:rPr>
        <w:t>4.1 无车承运人运单技术规范</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_Toc476581368 \h </w:instrText>
      </w:r>
      <w:r>
        <w:rPr>
          <w:rFonts w:hint="eastAsia" w:ascii="仿宋_GB2312"/>
          <w:sz w:val="28"/>
          <w:szCs w:val="28"/>
        </w:rPr>
        <w:fldChar w:fldCharType="separate"/>
      </w:r>
      <w:r>
        <w:rPr>
          <w:rFonts w:hint="eastAsia" w:ascii="仿宋_GB2312"/>
          <w:sz w:val="28"/>
          <w:szCs w:val="28"/>
        </w:rPr>
        <w:t>4</w:t>
      </w:r>
      <w:r>
        <w:rPr>
          <w:rFonts w:hint="eastAsia" w:ascii="仿宋_GB2312"/>
          <w:sz w:val="28"/>
          <w:szCs w:val="28"/>
        </w:rPr>
        <w:fldChar w:fldCharType="end"/>
      </w:r>
      <w:r>
        <w:rPr>
          <w:rFonts w:hint="eastAsia" w:ascii="仿宋_GB2312"/>
          <w:sz w:val="28"/>
          <w:szCs w:val="28"/>
        </w:rPr>
        <w:fldChar w:fldCharType="end"/>
      </w:r>
    </w:p>
    <w:p>
      <w:pPr>
        <w:pStyle w:val="20"/>
        <w:tabs>
          <w:tab w:val="right" w:leader="dot" w:pos="8777"/>
        </w:tabs>
        <w:ind w:firstLine="400"/>
        <w:rPr>
          <w:rFonts w:ascii="仿宋_GB2312"/>
          <w:smallCaps w:val="0"/>
          <w:sz w:val="28"/>
          <w:szCs w:val="28"/>
        </w:rPr>
      </w:pPr>
      <w:r>
        <w:fldChar w:fldCharType="begin"/>
      </w:r>
      <w:r>
        <w:instrText xml:space="preserve"> HYPERLINK \l "_Toc476581369" </w:instrText>
      </w:r>
      <w:r>
        <w:fldChar w:fldCharType="separate"/>
      </w:r>
      <w:r>
        <w:rPr>
          <w:rStyle w:val="24"/>
          <w:rFonts w:hint="eastAsia" w:ascii="仿宋_GB2312" w:hAnsi="Times New Roman"/>
          <w:sz w:val="28"/>
          <w:szCs w:val="28"/>
        </w:rPr>
        <w:t>4.2 代码集</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_Toc476581369 \h </w:instrText>
      </w:r>
      <w:r>
        <w:rPr>
          <w:rFonts w:hint="eastAsia" w:ascii="仿宋_GB2312"/>
          <w:sz w:val="28"/>
          <w:szCs w:val="28"/>
        </w:rPr>
        <w:fldChar w:fldCharType="separate"/>
      </w:r>
      <w:r>
        <w:rPr>
          <w:rFonts w:hint="eastAsia" w:ascii="仿宋_GB2312"/>
          <w:sz w:val="28"/>
          <w:szCs w:val="28"/>
        </w:rPr>
        <w:t>10</w:t>
      </w:r>
      <w:r>
        <w:rPr>
          <w:rFonts w:hint="eastAsia" w:ascii="仿宋_GB2312"/>
          <w:sz w:val="28"/>
          <w:szCs w:val="28"/>
        </w:rPr>
        <w:fldChar w:fldCharType="end"/>
      </w:r>
      <w:r>
        <w:rPr>
          <w:rFonts w:hint="eastAsia" w:ascii="仿宋_GB2312"/>
          <w:sz w:val="28"/>
          <w:szCs w:val="28"/>
        </w:rPr>
        <w:fldChar w:fldCharType="end"/>
      </w:r>
    </w:p>
    <w:p>
      <w:pPr>
        <w:pStyle w:val="11"/>
        <w:tabs>
          <w:tab w:val="right" w:leader="dot" w:pos="8777"/>
        </w:tabs>
        <w:ind w:firstLine="400"/>
        <w:rPr>
          <w:rFonts w:ascii="仿宋_GB2312"/>
          <w:i w:val="0"/>
          <w:iCs w:val="0"/>
          <w:sz w:val="28"/>
          <w:szCs w:val="28"/>
        </w:rPr>
      </w:pPr>
      <w:r>
        <w:fldChar w:fldCharType="begin"/>
      </w:r>
      <w:r>
        <w:instrText xml:space="preserve"> HYPERLINK \l "_Toc476581370" </w:instrText>
      </w:r>
      <w:r>
        <w:fldChar w:fldCharType="separate"/>
      </w:r>
      <w:r>
        <w:rPr>
          <w:rStyle w:val="24"/>
          <w:rFonts w:hint="eastAsia" w:ascii="仿宋_GB2312"/>
          <w:i w:val="0"/>
          <w:sz w:val="28"/>
          <w:szCs w:val="28"/>
        </w:rPr>
        <w:t>4.2.1 报文功能代码</w:t>
      </w:r>
      <w:r>
        <w:rPr>
          <w:rFonts w:hint="eastAsia" w:ascii="仿宋_GB2312"/>
          <w:i w:val="0"/>
          <w:sz w:val="28"/>
          <w:szCs w:val="28"/>
        </w:rPr>
        <w:tab/>
      </w:r>
      <w:r>
        <w:rPr>
          <w:rFonts w:hint="eastAsia" w:ascii="仿宋_GB2312"/>
          <w:i w:val="0"/>
          <w:sz w:val="28"/>
          <w:szCs w:val="28"/>
        </w:rPr>
        <w:fldChar w:fldCharType="begin"/>
      </w:r>
      <w:r>
        <w:rPr>
          <w:rFonts w:hint="eastAsia" w:ascii="仿宋_GB2312"/>
          <w:i w:val="0"/>
          <w:sz w:val="28"/>
          <w:szCs w:val="28"/>
        </w:rPr>
        <w:instrText xml:space="preserve"> PAGEREF _Toc476581370 \h </w:instrText>
      </w:r>
      <w:r>
        <w:rPr>
          <w:rFonts w:hint="eastAsia" w:ascii="仿宋_GB2312"/>
          <w:i w:val="0"/>
          <w:sz w:val="28"/>
          <w:szCs w:val="28"/>
        </w:rPr>
        <w:fldChar w:fldCharType="separate"/>
      </w:r>
      <w:r>
        <w:rPr>
          <w:rFonts w:hint="eastAsia" w:ascii="仿宋_GB2312"/>
          <w:i w:val="0"/>
          <w:sz w:val="28"/>
          <w:szCs w:val="28"/>
        </w:rPr>
        <w:t>10</w:t>
      </w:r>
      <w:r>
        <w:rPr>
          <w:rFonts w:hint="eastAsia" w:ascii="仿宋_GB2312"/>
          <w:i w:val="0"/>
          <w:sz w:val="28"/>
          <w:szCs w:val="28"/>
        </w:rPr>
        <w:fldChar w:fldCharType="end"/>
      </w:r>
      <w:r>
        <w:rPr>
          <w:rFonts w:hint="eastAsia" w:ascii="仿宋_GB2312"/>
          <w:i w:val="0"/>
          <w:sz w:val="28"/>
          <w:szCs w:val="28"/>
        </w:rPr>
        <w:fldChar w:fldCharType="end"/>
      </w:r>
    </w:p>
    <w:p>
      <w:pPr>
        <w:pStyle w:val="11"/>
        <w:tabs>
          <w:tab w:val="right" w:leader="dot" w:pos="8777"/>
        </w:tabs>
        <w:ind w:firstLine="400"/>
        <w:rPr>
          <w:rFonts w:ascii="仿宋_GB2312"/>
          <w:i w:val="0"/>
          <w:iCs w:val="0"/>
          <w:sz w:val="28"/>
          <w:szCs w:val="28"/>
        </w:rPr>
      </w:pPr>
      <w:r>
        <w:fldChar w:fldCharType="begin"/>
      </w:r>
      <w:r>
        <w:instrText xml:space="preserve"> HYPERLINK \l "_Toc476581371" </w:instrText>
      </w:r>
      <w:r>
        <w:fldChar w:fldCharType="separate"/>
      </w:r>
      <w:r>
        <w:rPr>
          <w:rStyle w:val="24"/>
          <w:rFonts w:hint="eastAsia" w:ascii="仿宋_GB2312"/>
          <w:i w:val="0"/>
          <w:sz w:val="28"/>
          <w:szCs w:val="28"/>
        </w:rPr>
        <w:t>4.2.2 业务类型代码</w:t>
      </w:r>
      <w:r>
        <w:rPr>
          <w:rFonts w:hint="eastAsia" w:ascii="仿宋_GB2312"/>
          <w:i w:val="0"/>
          <w:sz w:val="28"/>
          <w:szCs w:val="28"/>
        </w:rPr>
        <w:tab/>
      </w:r>
      <w:r>
        <w:rPr>
          <w:rFonts w:hint="eastAsia" w:ascii="仿宋_GB2312"/>
          <w:i w:val="0"/>
          <w:sz w:val="28"/>
          <w:szCs w:val="28"/>
        </w:rPr>
        <w:fldChar w:fldCharType="begin"/>
      </w:r>
      <w:r>
        <w:rPr>
          <w:rFonts w:hint="eastAsia" w:ascii="仿宋_GB2312"/>
          <w:i w:val="0"/>
          <w:sz w:val="28"/>
          <w:szCs w:val="28"/>
        </w:rPr>
        <w:instrText xml:space="preserve"> PAGEREF _Toc476581371 \h </w:instrText>
      </w:r>
      <w:r>
        <w:rPr>
          <w:rFonts w:hint="eastAsia" w:ascii="仿宋_GB2312"/>
          <w:i w:val="0"/>
          <w:sz w:val="28"/>
          <w:szCs w:val="28"/>
        </w:rPr>
        <w:fldChar w:fldCharType="separate"/>
      </w:r>
      <w:r>
        <w:rPr>
          <w:rFonts w:hint="eastAsia" w:ascii="仿宋_GB2312"/>
          <w:i w:val="0"/>
          <w:sz w:val="28"/>
          <w:szCs w:val="28"/>
        </w:rPr>
        <w:t>10</w:t>
      </w:r>
      <w:r>
        <w:rPr>
          <w:rFonts w:hint="eastAsia" w:ascii="仿宋_GB2312"/>
          <w:i w:val="0"/>
          <w:sz w:val="28"/>
          <w:szCs w:val="28"/>
        </w:rPr>
        <w:fldChar w:fldCharType="end"/>
      </w:r>
      <w:r>
        <w:rPr>
          <w:rFonts w:hint="eastAsia" w:ascii="仿宋_GB2312"/>
          <w:i w:val="0"/>
          <w:sz w:val="28"/>
          <w:szCs w:val="28"/>
        </w:rPr>
        <w:fldChar w:fldCharType="end"/>
      </w:r>
    </w:p>
    <w:p>
      <w:pPr>
        <w:pStyle w:val="11"/>
        <w:tabs>
          <w:tab w:val="right" w:leader="dot" w:pos="8777"/>
        </w:tabs>
        <w:ind w:firstLine="400"/>
        <w:rPr>
          <w:rFonts w:ascii="仿宋_GB2312"/>
          <w:i w:val="0"/>
          <w:iCs w:val="0"/>
          <w:sz w:val="28"/>
          <w:szCs w:val="28"/>
        </w:rPr>
      </w:pPr>
      <w:r>
        <w:fldChar w:fldCharType="begin"/>
      </w:r>
      <w:r>
        <w:instrText xml:space="preserve"> HYPERLINK \l "_Toc476581372" </w:instrText>
      </w:r>
      <w:r>
        <w:fldChar w:fldCharType="separate"/>
      </w:r>
      <w:r>
        <w:rPr>
          <w:rStyle w:val="24"/>
          <w:rFonts w:hint="eastAsia" w:ascii="仿宋_GB2312"/>
          <w:i w:val="0"/>
          <w:sz w:val="28"/>
          <w:szCs w:val="28"/>
        </w:rPr>
        <w:t>4.2.3 牌照类型代码</w:t>
      </w:r>
      <w:r>
        <w:rPr>
          <w:rFonts w:hint="eastAsia" w:ascii="仿宋_GB2312"/>
          <w:i w:val="0"/>
          <w:sz w:val="28"/>
          <w:szCs w:val="28"/>
        </w:rPr>
        <w:tab/>
      </w:r>
      <w:r>
        <w:rPr>
          <w:rFonts w:hint="eastAsia" w:ascii="仿宋_GB2312"/>
          <w:i w:val="0"/>
          <w:sz w:val="28"/>
          <w:szCs w:val="28"/>
        </w:rPr>
        <w:fldChar w:fldCharType="begin"/>
      </w:r>
      <w:r>
        <w:rPr>
          <w:rFonts w:hint="eastAsia" w:ascii="仿宋_GB2312"/>
          <w:i w:val="0"/>
          <w:sz w:val="28"/>
          <w:szCs w:val="28"/>
        </w:rPr>
        <w:instrText xml:space="preserve"> PAGEREF _Toc476581372 \h </w:instrText>
      </w:r>
      <w:r>
        <w:rPr>
          <w:rFonts w:hint="eastAsia" w:ascii="仿宋_GB2312"/>
          <w:i w:val="0"/>
          <w:sz w:val="28"/>
          <w:szCs w:val="28"/>
        </w:rPr>
        <w:fldChar w:fldCharType="separate"/>
      </w:r>
      <w:r>
        <w:rPr>
          <w:rFonts w:hint="eastAsia" w:ascii="仿宋_GB2312"/>
          <w:i w:val="0"/>
          <w:sz w:val="28"/>
          <w:szCs w:val="28"/>
        </w:rPr>
        <w:t>10</w:t>
      </w:r>
      <w:r>
        <w:rPr>
          <w:rFonts w:hint="eastAsia" w:ascii="仿宋_GB2312"/>
          <w:i w:val="0"/>
          <w:sz w:val="28"/>
          <w:szCs w:val="28"/>
        </w:rPr>
        <w:fldChar w:fldCharType="end"/>
      </w:r>
      <w:r>
        <w:rPr>
          <w:rFonts w:hint="eastAsia" w:ascii="仿宋_GB2312"/>
          <w:i w:val="0"/>
          <w:sz w:val="28"/>
          <w:szCs w:val="28"/>
        </w:rPr>
        <w:fldChar w:fldCharType="end"/>
      </w:r>
    </w:p>
    <w:p>
      <w:pPr>
        <w:pStyle w:val="11"/>
        <w:tabs>
          <w:tab w:val="right" w:leader="dot" w:pos="8777"/>
        </w:tabs>
        <w:ind w:firstLine="400"/>
        <w:rPr>
          <w:rFonts w:ascii="仿宋_GB2312"/>
          <w:i w:val="0"/>
          <w:iCs w:val="0"/>
          <w:sz w:val="28"/>
          <w:szCs w:val="28"/>
        </w:rPr>
      </w:pPr>
      <w:r>
        <w:fldChar w:fldCharType="begin"/>
      </w:r>
      <w:r>
        <w:instrText xml:space="preserve"> HYPERLINK \l "_Toc476581373" </w:instrText>
      </w:r>
      <w:r>
        <w:fldChar w:fldCharType="separate"/>
      </w:r>
      <w:r>
        <w:rPr>
          <w:rStyle w:val="24"/>
          <w:rFonts w:hint="eastAsia" w:ascii="仿宋_GB2312"/>
          <w:i w:val="0"/>
          <w:sz w:val="28"/>
          <w:szCs w:val="28"/>
        </w:rPr>
        <w:t>4.2.4 营运车辆分类代码</w:t>
      </w:r>
      <w:r>
        <w:rPr>
          <w:rFonts w:hint="eastAsia" w:ascii="仿宋_GB2312"/>
          <w:i w:val="0"/>
          <w:sz w:val="28"/>
          <w:szCs w:val="28"/>
        </w:rPr>
        <w:tab/>
      </w:r>
      <w:r>
        <w:rPr>
          <w:rFonts w:hint="eastAsia" w:ascii="仿宋_GB2312"/>
          <w:i w:val="0"/>
          <w:sz w:val="28"/>
          <w:szCs w:val="28"/>
        </w:rPr>
        <w:fldChar w:fldCharType="begin"/>
      </w:r>
      <w:r>
        <w:rPr>
          <w:rFonts w:hint="eastAsia" w:ascii="仿宋_GB2312"/>
          <w:i w:val="0"/>
          <w:sz w:val="28"/>
          <w:szCs w:val="28"/>
        </w:rPr>
        <w:instrText xml:space="preserve"> PAGEREF _Toc476581373 \h </w:instrText>
      </w:r>
      <w:r>
        <w:rPr>
          <w:rFonts w:hint="eastAsia" w:ascii="仿宋_GB2312"/>
          <w:i w:val="0"/>
          <w:sz w:val="28"/>
          <w:szCs w:val="28"/>
        </w:rPr>
        <w:fldChar w:fldCharType="separate"/>
      </w:r>
      <w:r>
        <w:rPr>
          <w:rFonts w:hint="eastAsia" w:ascii="仿宋_GB2312"/>
          <w:i w:val="0"/>
          <w:sz w:val="28"/>
          <w:szCs w:val="28"/>
        </w:rPr>
        <w:t>11</w:t>
      </w:r>
      <w:r>
        <w:rPr>
          <w:rFonts w:hint="eastAsia" w:ascii="仿宋_GB2312"/>
          <w:i w:val="0"/>
          <w:sz w:val="28"/>
          <w:szCs w:val="28"/>
        </w:rPr>
        <w:fldChar w:fldCharType="end"/>
      </w:r>
      <w:r>
        <w:rPr>
          <w:rFonts w:hint="eastAsia" w:ascii="仿宋_GB2312"/>
          <w:i w:val="0"/>
          <w:sz w:val="28"/>
          <w:szCs w:val="28"/>
        </w:rPr>
        <w:fldChar w:fldCharType="end"/>
      </w:r>
    </w:p>
    <w:p>
      <w:pPr>
        <w:pStyle w:val="11"/>
        <w:tabs>
          <w:tab w:val="right" w:leader="dot" w:pos="8777"/>
        </w:tabs>
        <w:ind w:firstLine="400"/>
        <w:rPr>
          <w:rFonts w:ascii="仿宋_GB2312"/>
          <w:i w:val="0"/>
          <w:iCs w:val="0"/>
          <w:sz w:val="28"/>
          <w:szCs w:val="28"/>
        </w:rPr>
      </w:pPr>
      <w:r>
        <w:fldChar w:fldCharType="begin"/>
      </w:r>
      <w:r>
        <w:instrText xml:space="preserve"> HYPERLINK \l "_Toc476581374" </w:instrText>
      </w:r>
      <w:r>
        <w:fldChar w:fldCharType="separate"/>
      </w:r>
      <w:r>
        <w:rPr>
          <w:rStyle w:val="24"/>
          <w:rFonts w:hint="eastAsia" w:ascii="仿宋_GB2312"/>
          <w:i w:val="0"/>
          <w:sz w:val="28"/>
          <w:szCs w:val="28"/>
        </w:rPr>
        <w:t>4.2.5 货物分类代码</w:t>
      </w:r>
      <w:r>
        <w:rPr>
          <w:rFonts w:hint="eastAsia" w:ascii="仿宋_GB2312"/>
          <w:i w:val="0"/>
          <w:sz w:val="28"/>
          <w:szCs w:val="28"/>
        </w:rPr>
        <w:tab/>
      </w:r>
      <w:r>
        <w:rPr>
          <w:rFonts w:hint="eastAsia" w:ascii="仿宋_GB2312"/>
          <w:i w:val="0"/>
          <w:sz w:val="28"/>
          <w:szCs w:val="28"/>
        </w:rPr>
        <w:fldChar w:fldCharType="begin"/>
      </w:r>
      <w:r>
        <w:rPr>
          <w:rFonts w:hint="eastAsia" w:ascii="仿宋_GB2312"/>
          <w:i w:val="0"/>
          <w:sz w:val="28"/>
          <w:szCs w:val="28"/>
        </w:rPr>
        <w:instrText xml:space="preserve"> PAGEREF _Toc476581374 \h </w:instrText>
      </w:r>
      <w:r>
        <w:rPr>
          <w:rFonts w:hint="eastAsia" w:ascii="仿宋_GB2312"/>
          <w:i w:val="0"/>
          <w:sz w:val="28"/>
          <w:szCs w:val="28"/>
        </w:rPr>
        <w:fldChar w:fldCharType="separate"/>
      </w:r>
      <w:r>
        <w:rPr>
          <w:rFonts w:hint="eastAsia" w:ascii="仿宋_GB2312"/>
          <w:i w:val="0"/>
          <w:sz w:val="28"/>
          <w:szCs w:val="28"/>
        </w:rPr>
        <w:t>12</w:t>
      </w:r>
      <w:r>
        <w:rPr>
          <w:rFonts w:hint="eastAsia" w:ascii="仿宋_GB2312"/>
          <w:i w:val="0"/>
          <w:sz w:val="28"/>
          <w:szCs w:val="28"/>
        </w:rPr>
        <w:fldChar w:fldCharType="end"/>
      </w:r>
      <w:r>
        <w:rPr>
          <w:rFonts w:hint="eastAsia" w:ascii="仿宋_GB2312"/>
          <w:i w:val="0"/>
          <w:sz w:val="28"/>
          <w:szCs w:val="28"/>
        </w:rPr>
        <w:fldChar w:fldCharType="end"/>
      </w:r>
    </w:p>
    <w:p>
      <w:pPr>
        <w:pStyle w:val="11"/>
        <w:tabs>
          <w:tab w:val="right" w:leader="dot" w:pos="8777"/>
        </w:tabs>
        <w:ind w:firstLine="400"/>
        <w:rPr>
          <w:rFonts w:ascii="仿宋_GB2312"/>
          <w:i w:val="0"/>
          <w:iCs w:val="0"/>
          <w:sz w:val="28"/>
          <w:szCs w:val="28"/>
        </w:rPr>
      </w:pPr>
      <w:r>
        <w:fldChar w:fldCharType="begin"/>
      </w:r>
      <w:r>
        <w:instrText xml:space="preserve"> HYPERLINK \l "_Toc476581375" </w:instrText>
      </w:r>
      <w:r>
        <w:fldChar w:fldCharType="separate"/>
      </w:r>
      <w:r>
        <w:rPr>
          <w:rStyle w:val="24"/>
          <w:rFonts w:hint="eastAsia" w:ascii="仿宋_GB2312"/>
          <w:i w:val="0"/>
          <w:sz w:val="28"/>
          <w:szCs w:val="28"/>
        </w:rPr>
        <w:t>4.2.6 国家行政区划代码</w:t>
      </w:r>
      <w:r>
        <w:rPr>
          <w:rFonts w:hint="eastAsia" w:ascii="仿宋_GB2312"/>
          <w:i w:val="0"/>
          <w:sz w:val="28"/>
          <w:szCs w:val="28"/>
        </w:rPr>
        <w:tab/>
      </w:r>
      <w:r>
        <w:rPr>
          <w:rFonts w:hint="eastAsia" w:ascii="仿宋_GB2312"/>
          <w:i w:val="0"/>
          <w:sz w:val="28"/>
          <w:szCs w:val="28"/>
        </w:rPr>
        <w:fldChar w:fldCharType="begin"/>
      </w:r>
      <w:r>
        <w:rPr>
          <w:rFonts w:hint="eastAsia" w:ascii="仿宋_GB2312"/>
          <w:i w:val="0"/>
          <w:sz w:val="28"/>
          <w:szCs w:val="28"/>
        </w:rPr>
        <w:instrText xml:space="preserve"> PAGEREF _Toc476581375 \h </w:instrText>
      </w:r>
      <w:r>
        <w:rPr>
          <w:rFonts w:hint="eastAsia" w:ascii="仿宋_GB2312"/>
          <w:i w:val="0"/>
          <w:sz w:val="28"/>
          <w:szCs w:val="28"/>
        </w:rPr>
        <w:fldChar w:fldCharType="separate"/>
      </w:r>
      <w:r>
        <w:rPr>
          <w:rFonts w:hint="eastAsia" w:ascii="仿宋_GB2312"/>
          <w:i w:val="0"/>
          <w:sz w:val="28"/>
          <w:szCs w:val="28"/>
        </w:rPr>
        <w:t>12</w:t>
      </w:r>
      <w:r>
        <w:rPr>
          <w:rFonts w:hint="eastAsia" w:ascii="仿宋_GB2312"/>
          <w:i w:val="0"/>
          <w:sz w:val="28"/>
          <w:szCs w:val="28"/>
        </w:rPr>
        <w:fldChar w:fldCharType="end"/>
      </w:r>
      <w:r>
        <w:rPr>
          <w:rFonts w:hint="eastAsia" w:ascii="仿宋_GB2312"/>
          <w:i w:val="0"/>
          <w:sz w:val="28"/>
          <w:szCs w:val="28"/>
        </w:rPr>
        <w:fldChar w:fldCharType="end"/>
      </w:r>
    </w:p>
    <w:p>
      <w:pPr>
        <w:pStyle w:val="17"/>
        <w:tabs>
          <w:tab w:val="right" w:leader="dot" w:pos="8777"/>
        </w:tabs>
        <w:ind w:firstLine="402"/>
        <w:rPr>
          <w:rFonts w:ascii="仿宋_GB2312"/>
          <w:b w:val="0"/>
          <w:bCs w:val="0"/>
          <w:caps w:val="0"/>
          <w:sz w:val="28"/>
          <w:szCs w:val="28"/>
        </w:rPr>
      </w:pPr>
      <w:r>
        <w:fldChar w:fldCharType="begin"/>
      </w:r>
      <w:r>
        <w:instrText xml:space="preserve"> HYPERLINK \l "_Toc476581376" </w:instrText>
      </w:r>
      <w:r>
        <w:fldChar w:fldCharType="separate"/>
      </w:r>
      <w:r>
        <w:rPr>
          <w:rStyle w:val="24"/>
          <w:rFonts w:hint="eastAsia" w:ascii="仿宋_GB2312"/>
          <w:sz w:val="28"/>
          <w:szCs w:val="28"/>
        </w:rPr>
        <w:t>5异常情况说明及处理</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_Toc476581376 \h </w:instrText>
      </w:r>
      <w:r>
        <w:rPr>
          <w:rFonts w:hint="eastAsia" w:ascii="仿宋_GB2312"/>
          <w:sz w:val="28"/>
          <w:szCs w:val="28"/>
        </w:rPr>
        <w:fldChar w:fldCharType="separate"/>
      </w:r>
      <w:r>
        <w:rPr>
          <w:rFonts w:hint="eastAsia" w:ascii="仿宋_GB2312"/>
          <w:sz w:val="28"/>
          <w:szCs w:val="28"/>
        </w:rPr>
        <w:t>13</w:t>
      </w:r>
      <w:r>
        <w:rPr>
          <w:rFonts w:hint="eastAsia" w:ascii="仿宋_GB2312"/>
          <w:sz w:val="28"/>
          <w:szCs w:val="28"/>
        </w:rPr>
        <w:fldChar w:fldCharType="end"/>
      </w:r>
      <w:r>
        <w:rPr>
          <w:rFonts w:hint="eastAsia" w:ascii="仿宋_GB2312"/>
          <w:sz w:val="28"/>
          <w:szCs w:val="28"/>
        </w:rPr>
        <w:fldChar w:fldCharType="end"/>
      </w:r>
    </w:p>
    <w:p>
      <w:pPr>
        <w:pStyle w:val="20"/>
        <w:tabs>
          <w:tab w:val="right" w:leader="dot" w:pos="8777"/>
        </w:tabs>
        <w:ind w:firstLine="400"/>
        <w:rPr>
          <w:rFonts w:ascii="仿宋_GB2312"/>
          <w:smallCaps w:val="0"/>
          <w:sz w:val="28"/>
          <w:szCs w:val="28"/>
        </w:rPr>
      </w:pPr>
      <w:r>
        <w:fldChar w:fldCharType="begin"/>
      </w:r>
      <w:r>
        <w:instrText xml:space="preserve"> HYPERLINK \l "_Toc476581377" </w:instrText>
      </w:r>
      <w:r>
        <w:fldChar w:fldCharType="separate"/>
      </w:r>
      <w:r>
        <w:rPr>
          <w:rStyle w:val="24"/>
          <w:rFonts w:hint="eastAsia" w:ascii="仿宋_GB2312" w:hAnsi="Times New Roman"/>
          <w:sz w:val="28"/>
          <w:szCs w:val="28"/>
        </w:rPr>
        <w:t>5.1异常情况说明</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_Toc476581377 \h </w:instrText>
      </w:r>
      <w:r>
        <w:rPr>
          <w:rFonts w:hint="eastAsia" w:ascii="仿宋_GB2312"/>
          <w:sz w:val="28"/>
          <w:szCs w:val="28"/>
        </w:rPr>
        <w:fldChar w:fldCharType="separate"/>
      </w:r>
      <w:r>
        <w:rPr>
          <w:rFonts w:hint="eastAsia" w:ascii="仿宋_GB2312"/>
          <w:sz w:val="28"/>
          <w:szCs w:val="28"/>
        </w:rPr>
        <w:t>13</w:t>
      </w:r>
      <w:r>
        <w:rPr>
          <w:rFonts w:hint="eastAsia" w:ascii="仿宋_GB2312"/>
          <w:sz w:val="28"/>
          <w:szCs w:val="28"/>
        </w:rPr>
        <w:fldChar w:fldCharType="end"/>
      </w:r>
      <w:r>
        <w:rPr>
          <w:rFonts w:hint="eastAsia" w:ascii="仿宋_GB2312"/>
          <w:sz w:val="28"/>
          <w:szCs w:val="28"/>
        </w:rPr>
        <w:fldChar w:fldCharType="end"/>
      </w:r>
    </w:p>
    <w:p>
      <w:pPr>
        <w:pStyle w:val="20"/>
        <w:tabs>
          <w:tab w:val="right" w:leader="dot" w:pos="8777"/>
        </w:tabs>
        <w:ind w:firstLine="400"/>
        <w:rPr>
          <w:rFonts w:ascii="仿宋_GB2312"/>
          <w:smallCaps w:val="0"/>
          <w:sz w:val="28"/>
          <w:szCs w:val="28"/>
        </w:rPr>
      </w:pPr>
      <w:r>
        <w:fldChar w:fldCharType="begin"/>
      </w:r>
      <w:r>
        <w:instrText xml:space="preserve"> HYPERLINK \l "_Toc476581378" </w:instrText>
      </w:r>
      <w:r>
        <w:fldChar w:fldCharType="separate"/>
      </w:r>
      <w:r>
        <w:rPr>
          <w:rStyle w:val="24"/>
          <w:rFonts w:hint="eastAsia" w:ascii="仿宋_GB2312" w:hAnsi="Times New Roman"/>
          <w:sz w:val="28"/>
          <w:szCs w:val="28"/>
        </w:rPr>
        <w:t>5.2异常情况处理</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_Toc476581378 \h </w:instrText>
      </w:r>
      <w:r>
        <w:rPr>
          <w:rFonts w:hint="eastAsia" w:ascii="仿宋_GB2312"/>
          <w:sz w:val="28"/>
          <w:szCs w:val="28"/>
        </w:rPr>
        <w:fldChar w:fldCharType="separate"/>
      </w:r>
      <w:r>
        <w:rPr>
          <w:rFonts w:hint="eastAsia" w:ascii="仿宋_GB2312"/>
          <w:sz w:val="28"/>
          <w:szCs w:val="28"/>
        </w:rPr>
        <w:t>13</w:t>
      </w:r>
      <w:r>
        <w:rPr>
          <w:rFonts w:hint="eastAsia" w:ascii="仿宋_GB2312"/>
          <w:sz w:val="28"/>
          <w:szCs w:val="28"/>
        </w:rPr>
        <w:fldChar w:fldCharType="end"/>
      </w:r>
      <w:r>
        <w:rPr>
          <w:rFonts w:hint="eastAsia" w:ascii="仿宋_GB2312"/>
          <w:sz w:val="28"/>
          <w:szCs w:val="28"/>
        </w:rPr>
        <w:fldChar w:fldCharType="end"/>
      </w:r>
    </w:p>
    <w:p>
      <w:pPr>
        <w:pStyle w:val="17"/>
        <w:tabs>
          <w:tab w:val="right" w:leader="dot" w:pos="8777"/>
        </w:tabs>
        <w:ind w:firstLine="402"/>
        <w:rPr>
          <w:rFonts w:ascii="仿宋_GB2312"/>
          <w:b w:val="0"/>
          <w:bCs w:val="0"/>
          <w:caps w:val="0"/>
          <w:sz w:val="28"/>
          <w:szCs w:val="28"/>
        </w:rPr>
      </w:pPr>
      <w:r>
        <w:fldChar w:fldCharType="begin"/>
      </w:r>
      <w:r>
        <w:instrText xml:space="preserve"> HYPERLINK \l "_Toc476581379" </w:instrText>
      </w:r>
      <w:r>
        <w:fldChar w:fldCharType="separate"/>
      </w:r>
      <w:r>
        <w:rPr>
          <w:rStyle w:val="24"/>
          <w:rFonts w:hint="eastAsia" w:ascii="仿宋_GB2312"/>
          <w:sz w:val="28"/>
          <w:szCs w:val="28"/>
        </w:rPr>
        <w:t>6 相关服务</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_Toc476581379 \h </w:instrText>
      </w:r>
      <w:r>
        <w:rPr>
          <w:rFonts w:hint="eastAsia" w:ascii="仿宋_GB2312"/>
          <w:sz w:val="28"/>
          <w:szCs w:val="28"/>
        </w:rPr>
        <w:fldChar w:fldCharType="separate"/>
      </w:r>
      <w:r>
        <w:rPr>
          <w:rFonts w:hint="eastAsia" w:ascii="仿宋_GB2312"/>
          <w:sz w:val="28"/>
          <w:szCs w:val="28"/>
        </w:rPr>
        <w:t>15</w:t>
      </w:r>
      <w:r>
        <w:rPr>
          <w:rFonts w:hint="eastAsia" w:ascii="仿宋_GB2312"/>
          <w:sz w:val="28"/>
          <w:szCs w:val="28"/>
        </w:rPr>
        <w:fldChar w:fldCharType="end"/>
      </w:r>
      <w:r>
        <w:rPr>
          <w:rFonts w:hint="eastAsia" w:ascii="仿宋_GB2312"/>
          <w:sz w:val="28"/>
          <w:szCs w:val="28"/>
        </w:rPr>
        <w:fldChar w:fldCharType="end"/>
      </w:r>
    </w:p>
    <w:p>
      <w:pPr>
        <w:pStyle w:val="17"/>
        <w:tabs>
          <w:tab w:val="right" w:leader="dot" w:pos="8777"/>
        </w:tabs>
        <w:ind w:firstLine="402"/>
        <w:rPr>
          <w:rFonts w:ascii="仿宋_GB2312"/>
          <w:b w:val="0"/>
          <w:bCs w:val="0"/>
          <w:caps w:val="0"/>
          <w:sz w:val="28"/>
          <w:szCs w:val="28"/>
        </w:rPr>
      </w:pPr>
      <w:r>
        <w:fldChar w:fldCharType="begin"/>
      </w:r>
      <w:r>
        <w:instrText xml:space="preserve"> HYPERLINK \l "_Toc476581380" </w:instrText>
      </w:r>
      <w:r>
        <w:fldChar w:fldCharType="separate"/>
      </w:r>
      <w:r>
        <w:rPr>
          <w:rStyle w:val="24"/>
          <w:rFonts w:hint="eastAsia" w:ascii="仿宋_GB2312"/>
          <w:sz w:val="28"/>
          <w:szCs w:val="28"/>
        </w:rPr>
        <w:t>7 技术支持</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_Toc476581380 \h </w:instrText>
      </w:r>
      <w:r>
        <w:rPr>
          <w:rFonts w:hint="eastAsia" w:ascii="仿宋_GB2312"/>
          <w:sz w:val="28"/>
          <w:szCs w:val="28"/>
        </w:rPr>
        <w:fldChar w:fldCharType="separate"/>
      </w:r>
      <w:r>
        <w:rPr>
          <w:rFonts w:hint="eastAsia" w:ascii="仿宋_GB2312"/>
          <w:sz w:val="28"/>
          <w:szCs w:val="28"/>
        </w:rPr>
        <w:t>15</w:t>
      </w:r>
      <w:r>
        <w:rPr>
          <w:rFonts w:hint="eastAsia" w:ascii="仿宋_GB2312"/>
          <w:sz w:val="28"/>
          <w:szCs w:val="28"/>
        </w:rPr>
        <w:fldChar w:fldCharType="end"/>
      </w:r>
      <w:r>
        <w:rPr>
          <w:rFonts w:hint="eastAsia" w:ascii="仿宋_GB2312"/>
          <w:sz w:val="28"/>
          <w:szCs w:val="28"/>
        </w:rPr>
        <w:fldChar w:fldCharType="end"/>
      </w:r>
    </w:p>
    <w:p>
      <w:pPr>
        <w:overflowPunct w:val="0"/>
        <w:snapToGrid w:val="0"/>
        <w:spacing w:line="360" w:lineRule="auto"/>
        <w:ind w:firstLine="0" w:firstLineChars="0"/>
        <w:jc w:val="center"/>
        <w:rPr>
          <w:rFonts w:ascii="Times New Roman" w:hAnsi="Times New Roman"/>
          <w:b/>
        </w:rPr>
      </w:pPr>
      <w:r>
        <w:rPr>
          <w:rFonts w:hint="eastAsia" w:ascii="仿宋_GB2312" w:hAnsi="Times New Roman"/>
          <w:bCs/>
          <w:caps/>
          <w:sz w:val="28"/>
          <w:szCs w:val="28"/>
        </w:rPr>
        <w:fldChar w:fldCharType="end"/>
      </w:r>
    </w:p>
    <w:p>
      <w:pPr>
        <w:overflowPunct w:val="0"/>
        <w:snapToGrid w:val="0"/>
        <w:spacing w:line="360" w:lineRule="auto"/>
        <w:ind w:firstLine="0" w:firstLineChars="0"/>
        <w:jc w:val="center"/>
        <w:rPr>
          <w:rFonts w:ascii="Times New Roman" w:hAnsi="Times New Roman"/>
          <w:b/>
        </w:rPr>
        <w:sectPr>
          <w:footerReference r:id="rId9" w:type="default"/>
          <w:pgSz w:w="11906" w:h="16838"/>
          <w:pgMar w:top="1418" w:right="1418" w:bottom="1418" w:left="1701" w:header="992" w:footer="992" w:gutter="0"/>
          <w:cols w:space="425" w:num="1"/>
          <w:docGrid w:type="linesAndChars" w:linePitch="312" w:charSpace="0"/>
        </w:sectPr>
      </w:pPr>
    </w:p>
    <w:p>
      <w:pPr>
        <w:pStyle w:val="2"/>
        <w:numPr>
          <w:ilvl w:val="0"/>
          <w:numId w:val="0"/>
        </w:numPr>
        <w:overflowPunct w:val="0"/>
        <w:snapToGrid w:val="0"/>
        <w:spacing w:before="156" w:after="156" w:line="360" w:lineRule="auto"/>
        <w:jc w:val="both"/>
        <w:rPr>
          <w:b w:val="0"/>
          <w:sz w:val="32"/>
          <w:szCs w:val="32"/>
        </w:rPr>
      </w:pPr>
      <w:bookmarkStart w:id="0" w:name="_Toc476581364"/>
      <w:bookmarkStart w:id="1" w:name="_Toc470592692"/>
      <w:bookmarkStart w:id="2" w:name="_Toc472065229"/>
      <w:bookmarkStart w:id="3" w:name="_Toc471820189"/>
      <w:r>
        <w:rPr>
          <w:b w:val="0"/>
          <w:sz w:val="32"/>
          <w:szCs w:val="32"/>
        </w:rPr>
        <w:t xml:space="preserve">1 </w:t>
      </w:r>
      <w:r>
        <w:rPr>
          <w:rFonts w:hint="eastAsia"/>
          <w:b w:val="0"/>
          <w:sz w:val="32"/>
          <w:szCs w:val="32"/>
        </w:rPr>
        <w:t>概述</w:t>
      </w:r>
      <w:bookmarkEnd w:id="0"/>
    </w:p>
    <w:p>
      <w:pPr>
        <w:overflowPunct w:val="0"/>
        <w:snapToGrid w:val="0"/>
        <w:spacing w:before="156" w:beforeLines="50" w:after="156" w:afterLines="50" w:line="360" w:lineRule="auto"/>
        <w:ind w:firstLine="640"/>
        <w:jc w:val="both"/>
        <w:rPr>
          <w:rFonts w:ascii="Times New Roman" w:hAnsi="Times New Roman"/>
        </w:rPr>
      </w:pPr>
      <w:r>
        <w:rPr>
          <w:rFonts w:hint="eastAsia" w:ascii="Times New Roman" w:hAnsi="Times New Roman"/>
        </w:rPr>
        <w:t>根据《交通运输部办公厅关于推进改革试点加快无车承运物流创新发展的意见》（交办运〔</w:t>
      </w:r>
      <w:r>
        <w:rPr>
          <w:rFonts w:ascii="Times New Roman" w:hAnsi="Times New Roman"/>
        </w:rPr>
        <w:t>2016</w:t>
      </w:r>
      <w:r>
        <w:rPr>
          <w:rFonts w:hint="eastAsia" w:ascii="Times New Roman" w:hAnsi="Times New Roman"/>
        </w:rPr>
        <w:t>〕</w:t>
      </w:r>
      <w:r>
        <w:rPr>
          <w:rFonts w:ascii="Times New Roman" w:hAnsi="Times New Roman"/>
        </w:rPr>
        <w:t>115</w:t>
      </w:r>
      <w:r>
        <w:rPr>
          <w:rFonts w:hint="eastAsia" w:ascii="Times New Roman" w:hAnsi="Times New Roman"/>
        </w:rPr>
        <w:t>号）要求，交通运输部委托国家物流信息平台管理中心开发建设部监测平台，对全国无车承运试点运行情况进行监测。同时，各省交通运输主管部门要建立省监测平台，对辖区无车承运试点企业运行情况进行监督监测，也可使用虚拟监测平台（由部监测平台分配省级账号）进行监测。</w:t>
      </w:r>
    </w:p>
    <w:p>
      <w:pPr>
        <w:overflowPunct w:val="0"/>
        <w:snapToGrid w:val="0"/>
        <w:spacing w:before="156" w:beforeLines="50" w:after="156" w:afterLines="50" w:line="360" w:lineRule="auto"/>
        <w:ind w:firstLine="640"/>
        <w:rPr>
          <w:rFonts w:ascii="Times New Roman" w:hAnsi="Times New Roman"/>
        </w:rPr>
      </w:pPr>
      <w:r>
        <w:rPr>
          <w:rFonts w:hint="eastAsia" w:ascii="Times New Roman" w:hAnsi="Times New Roman"/>
        </w:rPr>
        <w:t>本指南用于指导无车承运试点企业按照运行监测的要求，通过系统接口改造，接入部、省监测平台并实现相关数据的报送。</w:t>
      </w:r>
    </w:p>
    <w:p>
      <w:pPr>
        <w:pStyle w:val="2"/>
        <w:numPr>
          <w:ilvl w:val="0"/>
          <w:numId w:val="0"/>
        </w:numPr>
        <w:overflowPunct w:val="0"/>
        <w:snapToGrid w:val="0"/>
        <w:spacing w:before="156" w:after="156" w:line="360" w:lineRule="auto"/>
        <w:jc w:val="both"/>
        <w:rPr>
          <w:b w:val="0"/>
          <w:sz w:val="32"/>
          <w:szCs w:val="32"/>
        </w:rPr>
      </w:pPr>
      <w:bookmarkStart w:id="4" w:name="_Toc476581365"/>
      <w:r>
        <w:rPr>
          <w:b w:val="0"/>
          <w:sz w:val="32"/>
          <w:szCs w:val="32"/>
        </w:rPr>
        <w:t xml:space="preserve">2 </w:t>
      </w:r>
      <w:r>
        <w:rPr>
          <w:rFonts w:hint="eastAsia"/>
          <w:b w:val="0"/>
          <w:sz w:val="32"/>
          <w:szCs w:val="32"/>
        </w:rPr>
        <w:t>试点企业接入要求</w:t>
      </w:r>
      <w:bookmarkEnd w:id="4"/>
    </w:p>
    <w:p>
      <w:pPr>
        <w:overflowPunct w:val="0"/>
        <w:snapToGrid w:val="0"/>
        <w:spacing w:before="156" w:beforeLines="50" w:after="156" w:afterLines="50" w:line="360" w:lineRule="auto"/>
        <w:ind w:firstLine="640"/>
        <w:rPr>
          <w:rFonts w:ascii="Times New Roman" w:hAnsi="Times New Roman" w:eastAsia="黑体"/>
          <w:b/>
        </w:rPr>
      </w:pPr>
      <w:r>
        <w:rPr>
          <w:rFonts w:hint="eastAsia" w:ascii="Times New Roman" w:hAnsi="Times New Roman"/>
        </w:rPr>
        <w:t>无车承运试点企业互联网平台需按照要求进行系统接口改造，将相关运单数据实时上报。部监测平台接入方式为</w:t>
      </w:r>
      <w:r>
        <w:rPr>
          <w:rFonts w:ascii="Times New Roman" w:hAnsi="Times New Roman"/>
        </w:rPr>
        <w:t>WEBSERVICE</w:t>
      </w:r>
      <w:r>
        <w:rPr>
          <w:rFonts w:hint="eastAsia" w:ascii="Times New Roman" w:hAnsi="Times New Roman"/>
        </w:rPr>
        <w:t>。</w:t>
      </w:r>
    </w:p>
    <w:p>
      <w:pPr>
        <w:overflowPunct w:val="0"/>
        <w:snapToGrid w:val="0"/>
        <w:spacing w:before="156" w:beforeLines="50" w:after="156" w:afterLines="50" w:line="360" w:lineRule="auto"/>
        <w:ind w:firstLine="640"/>
        <w:rPr>
          <w:rFonts w:ascii="Times New Roman" w:hAnsi="Times New Roman"/>
        </w:rPr>
      </w:pPr>
      <w:r>
        <w:rPr>
          <w:rFonts w:hint="eastAsia" w:ascii="Times New Roman" w:hAnsi="Times New Roman"/>
        </w:rPr>
        <w:t>试点企业需改造业务系统，在货物运送至收货地并由客户签收后，实现该笔业务运输单证数据的实时上传，上报单证为《无车承运人运输单证》，相关技术规范详见《无车承运人运单技术规范》（</w:t>
      </w:r>
      <w:r>
        <w:rPr>
          <w:rFonts w:ascii="Times New Roman" w:hAnsi="Times New Roman"/>
        </w:rPr>
        <w:t>4.1</w:t>
      </w:r>
      <w:r>
        <w:rPr>
          <w:rFonts w:hint="eastAsia" w:ascii="Times New Roman" w:hAnsi="Times New Roman"/>
        </w:rPr>
        <w:t>）。</w:t>
      </w:r>
    </w:p>
    <w:p>
      <w:pPr>
        <w:pStyle w:val="2"/>
        <w:numPr>
          <w:ilvl w:val="0"/>
          <w:numId w:val="0"/>
        </w:numPr>
        <w:overflowPunct w:val="0"/>
        <w:snapToGrid w:val="0"/>
        <w:spacing w:before="156" w:after="156" w:line="360" w:lineRule="auto"/>
        <w:jc w:val="both"/>
        <w:rPr>
          <w:b w:val="0"/>
          <w:sz w:val="32"/>
          <w:szCs w:val="32"/>
        </w:rPr>
      </w:pPr>
      <w:bookmarkStart w:id="5" w:name="_Toc476581366"/>
      <w:r>
        <w:rPr>
          <w:b w:val="0"/>
          <w:sz w:val="32"/>
          <w:szCs w:val="32"/>
        </w:rPr>
        <w:t xml:space="preserve">3 </w:t>
      </w:r>
      <w:r>
        <w:rPr>
          <w:rFonts w:hint="eastAsia"/>
          <w:b w:val="0"/>
          <w:sz w:val="32"/>
          <w:szCs w:val="32"/>
        </w:rPr>
        <w:t>软件接入改造流程</w:t>
      </w:r>
      <w:bookmarkEnd w:id="5"/>
    </w:p>
    <w:p>
      <w:pPr>
        <w:overflowPunct w:val="0"/>
        <w:snapToGrid w:val="0"/>
        <w:spacing w:before="156" w:beforeLines="50" w:after="156" w:afterLines="50" w:line="360" w:lineRule="auto"/>
        <w:ind w:firstLine="640"/>
        <w:jc w:val="both"/>
        <w:rPr>
          <w:rFonts w:ascii="Times New Roman" w:hAnsi="Times New Roman"/>
        </w:rPr>
      </w:pPr>
      <w:r>
        <w:rPr>
          <w:rFonts w:hint="eastAsia" w:ascii="Times New Roman" w:hAnsi="Times New Roman"/>
        </w:rPr>
        <w:t>无车承运人运输单证发送方式原则上为一单多报，同时报送部、省两级监测平台。自建监测平台的省份，无车承运人运输单证也可先报送省监测平台，由省监测平台统一传送至部监测平台。部监测平台交换代码：</w:t>
      </w:r>
      <w:r>
        <w:rPr>
          <w:rFonts w:ascii="Times New Roman" w:hAnsi="Times New Roman"/>
        </w:rPr>
        <w:t>wcjc0001</w:t>
      </w:r>
      <w:r>
        <w:rPr>
          <w:rFonts w:hint="eastAsia" w:ascii="Times New Roman" w:hAnsi="Times New Roman"/>
        </w:rPr>
        <w:t>；省监测平台交换代码向所在省份行业管理部门获取。接入改造的具体技术流程参见：</w:t>
      </w:r>
      <w:r>
        <w:rPr>
          <w:rFonts w:ascii="Times New Roman" w:hAnsi="Times New Roman"/>
        </w:rPr>
        <w:t>http://www.logink.org/col/col1393/index.html</w:t>
      </w:r>
    </w:p>
    <w:p>
      <w:pPr>
        <w:overflowPunct w:val="0"/>
        <w:snapToGrid w:val="0"/>
        <w:spacing w:before="156" w:beforeLines="50" w:after="156" w:afterLines="50" w:line="360" w:lineRule="auto"/>
        <w:ind w:firstLine="640"/>
        <w:jc w:val="both"/>
        <w:rPr>
          <w:rFonts w:ascii="Times New Roman" w:hAnsi="Times New Roman"/>
        </w:rPr>
      </w:pPr>
      <w:r>
        <w:rPr>
          <w:rFonts w:hint="eastAsia" w:ascii="Times New Roman" w:hAnsi="Times New Roman"/>
        </w:rPr>
        <w:t>试点企业第一次登录部监测平台（网址：</w:t>
      </w:r>
      <w:r>
        <w:rPr>
          <w:rFonts w:ascii="Times New Roman" w:hAnsi="Times New Roman"/>
        </w:rPr>
        <w:t>jc.logink.org</w:t>
      </w:r>
      <w:r>
        <w:rPr>
          <w:rFonts w:hint="eastAsia" w:ascii="Times New Roman" w:hAnsi="Times New Roman"/>
        </w:rPr>
        <w:t>）时，需补充填写企业相关信息。</w:t>
      </w:r>
    </w:p>
    <w:p>
      <w:pPr>
        <w:pStyle w:val="2"/>
        <w:numPr>
          <w:ilvl w:val="0"/>
          <w:numId w:val="0"/>
        </w:numPr>
        <w:overflowPunct w:val="0"/>
        <w:snapToGrid w:val="0"/>
        <w:spacing w:before="156" w:after="156" w:line="360" w:lineRule="auto"/>
        <w:jc w:val="both"/>
        <w:rPr>
          <w:b w:val="0"/>
          <w:sz w:val="32"/>
          <w:szCs w:val="32"/>
        </w:rPr>
      </w:pPr>
      <w:bookmarkStart w:id="6" w:name="_Toc476581367"/>
      <w:r>
        <w:rPr>
          <w:b w:val="0"/>
          <w:sz w:val="32"/>
          <w:szCs w:val="32"/>
        </w:rPr>
        <w:t xml:space="preserve">4 </w:t>
      </w:r>
      <w:r>
        <w:rPr>
          <w:rFonts w:hint="eastAsia"/>
          <w:b w:val="0"/>
          <w:sz w:val="32"/>
          <w:szCs w:val="32"/>
        </w:rPr>
        <w:t>接入单证规范</w:t>
      </w:r>
      <w:bookmarkEnd w:id="6"/>
    </w:p>
    <w:p>
      <w:pPr>
        <w:overflowPunct w:val="0"/>
        <w:snapToGrid w:val="0"/>
        <w:spacing w:before="156" w:beforeLines="50" w:after="156" w:afterLines="50" w:line="360" w:lineRule="auto"/>
        <w:ind w:firstLine="640"/>
        <w:rPr>
          <w:rFonts w:ascii="Times New Roman" w:hAnsi="Times New Roman"/>
        </w:rPr>
      </w:pPr>
      <w:r>
        <w:rPr>
          <w:rFonts w:hint="eastAsia" w:ascii="Times New Roman" w:hAnsi="Times New Roman"/>
        </w:rPr>
        <w:t>业务报文上传中报文属性见下表。</w:t>
      </w:r>
    </w:p>
    <w:p>
      <w:pPr>
        <w:overflowPunct w:val="0"/>
        <w:snapToGrid w:val="0"/>
        <w:spacing w:before="156" w:beforeLines="50" w:line="360" w:lineRule="auto"/>
        <w:ind w:firstLine="640"/>
        <w:jc w:val="center"/>
        <w:rPr>
          <w:rFonts w:ascii="黑体" w:hAnsi="黑体" w:eastAsia="黑体"/>
        </w:rPr>
      </w:pPr>
      <w:r>
        <w:rPr>
          <w:rFonts w:hint="eastAsia" w:ascii="黑体" w:hAnsi="黑体" w:eastAsia="黑体"/>
        </w:rPr>
        <w:t>报文属性表</w:t>
      </w:r>
    </w:p>
    <w:tbl>
      <w:tblPr>
        <w:tblStyle w:val="25"/>
        <w:tblW w:w="9003"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60"/>
        <w:gridCol w:w="1197"/>
        <w:gridCol w:w="68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960" w:type="dxa"/>
            <w:tcBorders>
              <w:top w:val="single" w:color="auto" w:sz="8" w:space="0"/>
              <w:left w:val="single" w:color="auto" w:sz="8" w:space="0"/>
              <w:bottom w:val="single" w:color="auto" w:sz="8" w:space="0"/>
              <w:right w:val="single" w:color="auto" w:sz="4" w:space="0"/>
            </w:tcBorders>
            <w:shd w:val="clear" w:color="auto" w:fill="D8D8D8" w:themeFill="background1" w:themeFillShade="D9"/>
            <w:vAlign w:val="center"/>
          </w:tcPr>
          <w:p>
            <w:pPr>
              <w:overflowPunct w:val="0"/>
              <w:snapToGrid w:val="0"/>
              <w:spacing w:line="360" w:lineRule="auto"/>
              <w:ind w:firstLine="0" w:firstLineChars="0"/>
              <w:jc w:val="center"/>
              <w:rPr>
                <w:rFonts w:ascii="Times New Roman" w:hAnsi="Times New Roman" w:eastAsiaTheme="majorEastAsia"/>
                <w:b/>
                <w:sz w:val="24"/>
                <w:szCs w:val="24"/>
              </w:rPr>
            </w:pPr>
            <w:r>
              <w:rPr>
                <w:rFonts w:hint="eastAsia" w:ascii="Times New Roman" w:hAnsi="Times New Roman" w:eastAsiaTheme="majorEastAsia"/>
                <w:b/>
                <w:sz w:val="24"/>
                <w:szCs w:val="24"/>
              </w:rPr>
              <w:t>序号</w:t>
            </w:r>
          </w:p>
        </w:tc>
        <w:tc>
          <w:tcPr>
            <w:tcW w:w="1197" w:type="dxa"/>
            <w:tcBorders>
              <w:top w:val="single" w:color="auto" w:sz="8" w:space="0"/>
              <w:left w:val="single" w:color="auto" w:sz="4" w:space="0"/>
              <w:bottom w:val="single" w:color="auto" w:sz="8" w:space="0"/>
              <w:right w:val="single" w:color="auto" w:sz="4" w:space="0"/>
            </w:tcBorders>
            <w:shd w:val="clear" w:color="auto" w:fill="D8D8D8" w:themeFill="background1" w:themeFillShade="D9"/>
            <w:vAlign w:val="center"/>
          </w:tcPr>
          <w:p>
            <w:pPr>
              <w:overflowPunct w:val="0"/>
              <w:snapToGrid w:val="0"/>
              <w:spacing w:line="360" w:lineRule="auto"/>
              <w:ind w:firstLine="0" w:firstLineChars="0"/>
              <w:jc w:val="center"/>
              <w:rPr>
                <w:rFonts w:ascii="Times New Roman" w:hAnsi="Times New Roman" w:eastAsiaTheme="majorEastAsia"/>
                <w:b/>
                <w:sz w:val="24"/>
                <w:szCs w:val="24"/>
              </w:rPr>
            </w:pPr>
            <w:r>
              <w:rPr>
                <w:rFonts w:hint="eastAsia" w:ascii="Times New Roman" w:hAnsi="Times New Roman" w:eastAsiaTheme="majorEastAsia"/>
                <w:b/>
                <w:sz w:val="24"/>
                <w:szCs w:val="24"/>
              </w:rPr>
              <w:t>属性名称</w:t>
            </w:r>
          </w:p>
        </w:tc>
        <w:tc>
          <w:tcPr>
            <w:tcW w:w="6846" w:type="dxa"/>
            <w:tcBorders>
              <w:top w:val="single" w:color="auto" w:sz="8" w:space="0"/>
              <w:left w:val="single" w:color="auto" w:sz="4" w:space="0"/>
              <w:bottom w:val="single" w:color="auto" w:sz="8" w:space="0"/>
              <w:right w:val="single" w:color="auto" w:sz="8" w:space="0"/>
            </w:tcBorders>
            <w:shd w:val="clear" w:color="auto" w:fill="D8D8D8" w:themeFill="background1" w:themeFillShade="D9"/>
            <w:vAlign w:val="center"/>
          </w:tcPr>
          <w:p>
            <w:pPr>
              <w:overflowPunct w:val="0"/>
              <w:snapToGrid w:val="0"/>
              <w:spacing w:line="360" w:lineRule="auto"/>
              <w:ind w:firstLine="0" w:firstLineChars="0"/>
              <w:jc w:val="center"/>
              <w:rPr>
                <w:rFonts w:ascii="Times New Roman" w:hAnsi="Times New Roman" w:eastAsiaTheme="majorEastAsia"/>
                <w:b/>
                <w:sz w:val="24"/>
                <w:szCs w:val="24"/>
              </w:rPr>
            </w:pPr>
            <w:r>
              <w:rPr>
                <w:rFonts w:hint="eastAsia" w:ascii="Times New Roman" w:hAnsi="Times New Roman" w:eastAsiaTheme="majorEastAsia"/>
                <w:b/>
                <w:sz w:val="24"/>
                <w:szCs w:val="24"/>
              </w:rPr>
              <w:t>说明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0" w:type="dxa"/>
            <w:tcBorders>
              <w:top w:val="single" w:color="auto" w:sz="8" w:space="0"/>
              <w:left w:val="single" w:color="auto" w:sz="8" w:space="0"/>
              <w:bottom w:val="single" w:color="auto" w:sz="4"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ascii="Times New Roman" w:hAnsi="Times New Roman" w:eastAsiaTheme="majorEastAsia"/>
                <w:sz w:val="24"/>
                <w:szCs w:val="24"/>
              </w:rPr>
              <w:t>1</w:t>
            </w:r>
          </w:p>
        </w:tc>
        <w:tc>
          <w:tcPr>
            <w:tcW w:w="1197" w:type="dxa"/>
            <w:tcBorders>
              <w:top w:val="single" w:color="auto" w:sz="8" w:space="0"/>
              <w:left w:val="single" w:color="auto" w:sz="4" w:space="0"/>
              <w:bottom w:val="single" w:color="auto" w:sz="4"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报文层</w:t>
            </w:r>
            <w:r>
              <w:rPr>
                <w:rFonts w:ascii="Times New Roman" w:hAnsi="Times New Roman" w:eastAsiaTheme="majorEastAsia"/>
                <w:bCs/>
                <w:sz w:val="24"/>
                <w:szCs w:val="24"/>
              </w:rPr>
              <w:t>Level</w:t>
            </w:r>
          </w:p>
        </w:tc>
        <w:tc>
          <w:tcPr>
            <w:tcW w:w="6846" w:type="dxa"/>
            <w:tcBorders>
              <w:top w:val="single" w:color="auto" w:sz="8" w:space="0"/>
              <w:left w:val="single" w:color="auto" w:sz="4" w:space="0"/>
              <w:bottom w:val="single" w:color="auto" w:sz="4" w:space="0"/>
              <w:right w:val="single" w:color="auto" w:sz="8" w:space="0"/>
            </w:tcBorders>
            <w:vAlign w:val="center"/>
          </w:tcPr>
          <w:p>
            <w:pPr>
              <w:overflowPunct w:val="0"/>
              <w:snapToGrid w:val="0"/>
              <w:spacing w:line="360" w:lineRule="auto"/>
              <w:ind w:firstLine="0" w:firstLineChars="0"/>
              <w:rPr>
                <w:rFonts w:ascii="Times New Roman" w:hAnsi="Times New Roman" w:eastAsiaTheme="majorEastAsia"/>
                <w:sz w:val="24"/>
                <w:szCs w:val="24"/>
              </w:rPr>
            </w:pPr>
            <w:r>
              <w:rPr>
                <w:rFonts w:hint="eastAsia" w:ascii="Times New Roman" w:hAnsi="Times New Roman" w:eastAsiaTheme="majorEastAsia"/>
                <w:sz w:val="24"/>
                <w:szCs w:val="24"/>
              </w:rPr>
              <w:t>标识数据元在报文结构中的位置和层次关系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0" w:type="dxa"/>
            <w:tcBorders>
              <w:top w:val="single" w:color="auto" w:sz="4" w:space="0"/>
              <w:left w:val="single" w:color="auto" w:sz="8" w:space="0"/>
              <w:bottom w:val="single" w:color="auto" w:sz="4"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ascii="Times New Roman" w:hAnsi="Times New Roman" w:eastAsiaTheme="majorEastAsia"/>
                <w:sz w:val="24"/>
                <w:szCs w:val="24"/>
              </w:rPr>
              <w:t>2</w:t>
            </w:r>
          </w:p>
        </w:tc>
        <w:tc>
          <w:tcPr>
            <w:tcW w:w="1197" w:type="dxa"/>
            <w:tcBorders>
              <w:top w:val="single" w:color="auto" w:sz="4" w:space="0"/>
              <w:left w:val="single" w:color="auto" w:sz="4" w:space="0"/>
              <w:bottom w:val="single" w:color="auto" w:sz="4"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分类编号</w:t>
            </w:r>
          </w:p>
        </w:tc>
        <w:tc>
          <w:tcPr>
            <w:tcW w:w="6846" w:type="dxa"/>
            <w:tcBorders>
              <w:top w:val="single" w:color="auto" w:sz="4" w:space="0"/>
              <w:left w:val="single" w:color="auto" w:sz="4" w:space="0"/>
              <w:bottom w:val="single" w:color="auto" w:sz="4" w:space="0"/>
              <w:right w:val="single" w:color="auto" w:sz="8" w:space="0"/>
            </w:tcBorders>
            <w:vAlign w:val="center"/>
          </w:tcPr>
          <w:p>
            <w:pPr>
              <w:overflowPunct w:val="0"/>
              <w:snapToGrid w:val="0"/>
              <w:spacing w:line="360" w:lineRule="auto"/>
              <w:ind w:firstLine="0" w:firstLineChars="0"/>
              <w:rPr>
                <w:rFonts w:ascii="Times New Roman" w:hAnsi="Times New Roman" w:eastAsiaTheme="majorEastAsia"/>
                <w:sz w:val="24"/>
                <w:szCs w:val="24"/>
              </w:rPr>
            </w:pPr>
            <w:r>
              <w:rPr>
                <w:rFonts w:hint="eastAsia" w:ascii="Times New Roman" w:hAnsi="Times New Roman" w:eastAsiaTheme="majorEastAsia"/>
                <w:sz w:val="24"/>
                <w:szCs w:val="24"/>
              </w:rPr>
              <w:t>标识该数据元的唯一标记，反映该数据元在数据元集中的排列位置，分类编号从左至右由交通运输物流信息交换业务领域代码、数据元一级分类顺序号、数据元二级分类顺序号和数据元顺序号组成，具体编码规则见</w:t>
            </w:r>
            <w:r>
              <w:rPr>
                <w:rFonts w:ascii="Times New Roman" w:hAnsi="Times New Roman" w:eastAsiaTheme="majorEastAsia"/>
                <w:kern w:val="0"/>
                <w:sz w:val="24"/>
                <w:szCs w:val="24"/>
              </w:rPr>
              <w:t>JT/T 919.1-2014</w:t>
            </w:r>
            <w:r>
              <w:rPr>
                <w:rFonts w:hint="eastAsia" w:ascii="Times New Roman" w:hAnsi="Times New Roman" w:eastAsiaTheme="majorEastAsia"/>
                <w:kern w:val="0"/>
                <w:sz w:val="24"/>
                <w:szCs w:val="24"/>
              </w:rPr>
              <w:t>中的</w:t>
            </w:r>
            <w:r>
              <w:rPr>
                <w:rFonts w:ascii="Times New Roman" w:hAnsi="Times New Roman" w:eastAsiaTheme="majorEastAsia"/>
                <w:kern w:val="0"/>
                <w:sz w:val="24"/>
                <w:szCs w:val="24"/>
              </w:rPr>
              <w:t>5.1.2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0" w:type="dxa"/>
            <w:tcBorders>
              <w:top w:val="single" w:color="auto" w:sz="4" w:space="0"/>
              <w:left w:val="single" w:color="auto" w:sz="8" w:space="0"/>
              <w:bottom w:val="single" w:color="auto" w:sz="4"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ascii="Times New Roman" w:hAnsi="Times New Roman" w:eastAsiaTheme="majorEastAsia"/>
                <w:sz w:val="24"/>
                <w:szCs w:val="24"/>
              </w:rPr>
              <w:t>3</w:t>
            </w:r>
          </w:p>
        </w:tc>
        <w:tc>
          <w:tcPr>
            <w:tcW w:w="1197" w:type="dxa"/>
            <w:tcBorders>
              <w:top w:val="single" w:color="auto" w:sz="4" w:space="0"/>
              <w:left w:val="single" w:color="auto" w:sz="4" w:space="0"/>
              <w:bottom w:val="single" w:color="auto" w:sz="4"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英文名称</w:t>
            </w:r>
          </w:p>
        </w:tc>
        <w:tc>
          <w:tcPr>
            <w:tcW w:w="6846" w:type="dxa"/>
            <w:tcBorders>
              <w:top w:val="single" w:color="auto" w:sz="4" w:space="0"/>
              <w:left w:val="single" w:color="auto" w:sz="4" w:space="0"/>
              <w:bottom w:val="single" w:color="auto" w:sz="4" w:space="0"/>
              <w:right w:val="single" w:color="auto" w:sz="8" w:space="0"/>
            </w:tcBorders>
            <w:vAlign w:val="center"/>
          </w:tcPr>
          <w:p>
            <w:pPr>
              <w:overflowPunct w:val="0"/>
              <w:snapToGrid w:val="0"/>
              <w:spacing w:line="360" w:lineRule="auto"/>
              <w:ind w:firstLine="0" w:firstLineChars="0"/>
              <w:rPr>
                <w:rFonts w:ascii="Times New Roman" w:hAnsi="Times New Roman" w:eastAsiaTheme="majorEastAsia"/>
                <w:sz w:val="24"/>
                <w:szCs w:val="24"/>
              </w:rPr>
            </w:pPr>
            <w:r>
              <w:rPr>
                <w:rFonts w:hint="eastAsia" w:ascii="Times New Roman" w:hAnsi="Times New Roman" w:eastAsiaTheme="majorEastAsia"/>
                <w:sz w:val="24"/>
                <w:szCs w:val="24"/>
              </w:rPr>
              <w:t>数据元和段组的英文标记名，可用作可扩展标记语言（</w:t>
            </w:r>
            <w:r>
              <w:rPr>
                <w:rFonts w:ascii="Times New Roman" w:hAnsi="Times New Roman" w:eastAsiaTheme="majorEastAsia"/>
                <w:sz w:val="24"/>
                <w:szCs w:val="24"/>
              </w:rPr>
              <w:t>XML</w:t>
            </w:r>
            <w:r>
              <w:rPr>
                <w:rFonts w:hint="eastAsia" w:ascii="Times New Roman" w:hAnsi="Times New Roman" w:eastAsiaTheme="majorEastAsia"/>
                <w:sz w:val="24"/>
                <w:szCs w:val="24"/>
              </w:rPr>
              <w:t>）标记名，段组是由多个数据元构成的数据实体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0" w:type="dxa"/>
            <w:tcBorders>
              <w:top w:val="single" w:color="auto" w:sz="4" w:space="0"/>
              <w:left w:val="single" w:color="auto" w:sz="8" w:space="0"/>
              <w:bottom w:val="single" w:color="auto" w:sz="4"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ascii="Times New Roman" w:hAnsi="Times New Roman" w:eastAsiaTheme="majorEastAsia"/>
                <w:sz w:val="24"/>
                <w:szCs w:val="24"/>
              </w:rPr>
              <w:t>4</w:t>
            </w:r>
          </w:p>
        </w:tc>
        <w:tc>
          <w:tcPr>
            <w:tcW w:w="1197" w:type="dxa"/>
            <w:tcBorders>
              <w:top w:val="single" w:color="auto" w:sz="4" w:space="0"/>
              <w:left w:val="single" w:color="auto" w:sz="4" w:space="0"/>
              <w:bottom w:val="single" w:color="auto" w:sz="4"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中文名称</w:t>
            </w:r>
          </w:p>
        </w:tc>
        <w:tc>
          <w:tcPr>
            <w:tcW w:w="6846" w:type="dxa"/>
            <w:tcBorders>
              <w:top w:val="single" w:color="auto" w:sz="4" w:space="0"/>
              <w:left w:val="single" w:color="auto" w:sz="4" w:space="0"/>
              <w:bottom w:val="single" w:color="auto" w:sz="4" w:space="0"/>
              <w:right w:val="single" w:color="auto" w:sz="8"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对数据元的中文描述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0" w:type="dxa"/>
            <w:tcBorders>
              <w:top w:val="single" w:color="auto" w:sz="4" w:space="0"/>
              <w:left w:val="single" w:color="auto" w:sz="8" w:space="0"/>
              <w:bottom w:val="single" w:color="auto" w:sz="8"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ascii="Times New Roman" w:hAnsi="Times New Roman" w:eastAsiaTheme="majorEastAsia"/>
                <w:sz w:val="24"/>
                <w:szCs w:val="24"/>
              </w:rPr>
              <w:t>5</w:t>
            </w:r>
          </w:p>
        </w:tc>
        <w:tc>
          <w:tcPr>
            <w:tcW w:w="1197" w:type="dxa"/>
            <w:tcBorders>
              <w:top w:val="single" w:color="auto" w:sz="4" w:space="0"/>
              <w:left w:val="single" w:color="auto" w:sz="4" w:space="0"/>
              <w:bottom w:val="single" w:color="auto" w:sz="8"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约束</w:t>
            </w:r>
            <w:r>
              <w:rPr>
                <w:rFonts w:ascii="Times New Roman" w:hAnsi="Times New Roman" w:eastAsiaTheme="majorEastAsia"/>
                <w:sz w:val="24"/>
                <w:szCs w:val="24"/>
              </w:rPr>
              <w:t>/</w:t>
            </w:r>
            <w:r>
              <w:rPr>
                <w:rFonts w:hint="eastAsia" w:ascii="Times New Roman" w:hAnsi="Times New Roman" w:eastAsiaTheme="majorEastAsia"/>
                <w:sz w:val="24"/>
                <w:szCs w:val="24"/>
              </w:rPr>
              <w:t>出现次数</w:t>
            </w:r>
          </w:p>
        </w:tc>
        <w:tc>
          <w:tcPr>
            <w:tcW w:w="6846" w:type="dxa"/>
            <w:tcBorders>
              <w:top w:val="single" w:color="auto" w:sz="4" w:space="0"/>
              <w:left w:val="single" w:color="auto" w:sz="4" w:space="0"/>
              <w:bottom w:val="single" w:color="auto" w:sz="8" w:space="0"/>
              <w:right w:val="single" w:color="auto" w:sz="8" w:space="0"/>
            </w:tcBorders>
            <w:vAlign w:val="center"/>
          </w:tcPr>
          <w:p>
            <w:pPr>
              <w:overflowPunct w:val="0"/>
              <w:snapToGrid w:val="0"/>
              <w:spacing w:line="360" w:lineRule="auto"/>
              <w:ind w:firstLine="0" w:firstLineChars="0"/>
              <w:rPr>
                <w:rFonts w:ascii="Times New Roman" w:hAnsi="Times New Roman" w:eastAsiaTheme="majorEastAsia"/>
                <w:sz w:val="24"/>
                <w:szCs w:val="24"/>
              </w:rPr>
            </w:pPr>
            <w:r>
              <w:rPr>
                <w:rFonts w:hint="eastAsia" w:ascii="Times New Roman" w:hAnsi="Times New Roman" w:eastAsiaTheme="majorEastAsia"/>
                <w:sz w:val="24"/>
                <w:szCs w:val="24"/>
              </w:rPr>
              <w:t>数据元在报文中重复出现的次数：</w:t>
            </w:r>
          </w:p>
          <w:p>
            <w:pPr>
              <w:overflowPunct w:val="0"/>
              <w:snapToGrid w:val="0"/>
              <w:spacing w:line="360" w:lineRule="auto"/>
              <w:ind w:firstLine="199" w:firstLineChars="83"/>
              <w:rPr>
                <w:rFonts w:ascii="Times New Roman" w:hAnsi="Times New Roman" w:eastAsiaTheme="majorEastAsia"/>
                <w:sz w:val="24"/>
                <w:szCs w:val="24"/>
              </w:rPr>
            </w:pPr>
            <w:r>
              <w:rPr>
                <w:rFonts w:ascii="Times New Roman" w:hAnsi="Times New Roman" w:eastAsiaTheme="majorEastAsia"/>
                <w:sz w:val="24"/>
                <w:szCs w:val="24"/>
              </w:rPr>
              <w:t>a</w:t>
            </w:r>
            <w:r>
              <w:rPr>
                <w:rFonts w:hint="eastAsia" w:ascii="Times New Roman" w:hAnsi="Times New Roman" w:eastAsiaTheme="majorEastAsia"/>
                <w:sz w:val="24"/>
                <w:szCs w:val="24"/>
              </w:rPr>
              <w:t>）</w:t>
            </w:r>
            <w:r>
              <w:rPr>
                <w:rFonts w:ascii="Times New Roman" w:hAnsi="Times New Roman" w:eastAsiaTheme="majorEastAsia"/>
                <w:sz w:val="24"/>
                <w:szCs w:val="24"/>
              </w:rPr>
              <w:t>0..1——</w:t>
            </w:r>
            <w:r>
              <w:rPr>
                <w:rFonts w:hint="eastAsia" w:ascii="Times New Roman" w:hAnsi="Times New Roman" w:eastAsiaTheme="majorEastAsia"/>
                <w:sz w:val="24"/>
                <w:szCs w:val="24"/>
              </w:rPr>
              <w:t>数据元值域可填，且出现一次；</w:t>
            </w:r>
          </w:p>
          <w:p>
            <w:pPr>
              <w:overflowPunct w:val="0"/>
              <w:snapToGrid w:val="0"/>
              <w:spacing w:line="360" w:lineRule="auto"/>
              <w:ind w:firstLine="199" w:firstLineChars="83"/>
              <w:rPr>
                <w:rFonts w:ascii="Times New Roman" w:hAnsi="Times New Roman" w:eastAsiaTheme="majorEastAsia"/>
                <w:sz w:val="24"/>
                <w:szCs w:val="24"/>
              </w:rPr>
            </w:pPr>
            <w:r>
              <w:rPr>
                <w:rFonts w:ascii="Times New Roman" w:hAnsi="Times New Roman" w:eastAsiaTheme="majorEastAsia"/>
                <w:sz w:val="24"/>
                <w:szCs w:val="24"/>
              </w:rPr>
              <w:t>b</w:t>
            </w:r>
            <w:r>
              <w:rPr>
                <w:rFonts w:hint="eastAsia" w:ascii="Times New Roman" w:hAnsi="Times New Roman" w:eastAsiaTheme="majorEastAsia"/>
                <w:sz w:val="24"/>
                <w:szCs w:val="24"/>
              </w:rPr>
              <w:t>）</w:t>
            </w:r>
            <w:r>
              <w:rPr>
                <w:rFonts w:ascii="Times New Roman" w:hAnsi="Times New Roman" w:eastAsiaTheme="majorEastAsia"/>
                <w:sz w:val="24"/>
                <w:szCs w:val="24"/>
              </w:rPr>
              <w:t>0..n——</w:t>
            </w:r>
            <w:r>
              <w:rPr>
                <w:rFonts w:hint="eastAsia" w:ascii="Times New Roman" w:hAnsi="Times New Roman" w:eastAsiaTheme="majorEastAsia"/>
                <w:sz w:val="24"/>
                <w:szCs w:val="24"/>
              </w:rPr>
              <w:t>数据元值域可填，且可出现多次；</w:t>
            </w:r>
          </w:p>
          <w:p>
            <w:pPr>
              <w:overflowPunct w:val="0"/>
              <w:snapToGrid w:val="0"/>
              <w:spacing w:line="360" w:lineRule="auto"/>
              <w:ind w:firstLine="199" w:firstLineChars="83"/>
              <w:rPr>
                <w:rFonts w:ascii="Times New Roman" w:hAnsi="Times New Roman" w:eastAsiaTheme="majorEastAsia"/>
                <w:sz w:val="24"/>
                <w:szCs w:val="24"/>
              </w:rPr>
            </w:pPr>
            <w:r>
              <w:rPr>
                <w:rFonts w:ascii="Times New Roman" w:hAnsi="Times New Roman" w:eastAsiaTheme="majorEastAsia"/>
                <w:sz w:val="24"/>
                <w:szCs w:val="24"/>
              </w:rPr>
              <w:t>c</w:t>
            </w:r>
            <w:r>
              <w:rPr>
                <w:rFonts w:hint="eastAsia" w:ascii="Times New Roman" w:hAnsi="Times New Roman" w:eastAsiaTheme="majorEastAsia"/>
                <w:sz w:val="24"/>
                <w:szCs w:val="24"/>
              </w:rPr>
              <w:t>）</w:t>
            </w:r>
            <w:r>
              <w:rPr>
                <w:rFonts w:ascii="Times New Roman" w:hAnsi="Times New Roman" w:eastAsiaTheme="majorEastAsia"/>
                <w:sz w:val="24"/>
                <w:szCs w:val="24"/>
              </w:rPr>
              <w:t>1..1——</w:t>
            </w:r>
            <w:r>
              <w:rPr>
                <w:rFonts w:hint="eastAsia" w:ascii="Times New Roman" w:hAnsi="Times New Roman" w:eastAsiaTheme="majorEastAsia"/>
                <w:sz w:val="24"/>
                <w:szCs w:val="24"/>
              </w:rPr>
              <w:t>数据元值域必填，且出现一次；</w:t>
            </w:r>
          </w:p>
          <w:p>
            <w:pPr>
              <w:overflowPunct w:val="0"/>
              <w:snapToGrid w:val="0"/>
              <w:spacing w:line="360" w:lineRule="auto"/>
              <w:ind w:firstLine="199" w:firstLineChars="83"/>
              <w:rPr>
                <w:rFonts w:ascii="Times New Roman" w:hAnsi="Times New Roman" w:eastAsiaTheme="majorEastAsia"/>
                <w:sz w:val="24"/>
                <w:szCs w:val="24"/>
              </w:rPr>
            </w:pPr>
            <w:r>
              <w:rPr>
                <w:rFonts w:ascii="Times New Roman" w:hAnsi="Times New Roman" w:eastAsiaTheme="majorEastAsia"/>
                <w:sz w:val="24"/>
                <w:szCs w:val="24"/>
              </w:rPr>
              <w:t>d</w:t>
            </w:r>
            <w:r>
              <w:rPr>
                <w:rFonts w:hint="eastAsia" w:ascii="Times New Roman" w:hAnsi="Times New Roman" w:eastAsiaTheme="majorEastAsia"/>
                <w:sz w:val="24"/>
                <w:szCs w:val="24"/>
              </w:rPr>
              <w:t>）</w:t>
            </w:r>
            <w:r>
              <w:rPr>
                <w:rFonts w:ascii="Times New Roman" w:hAnsi="Times New Roman" w:eastAsiaTheme="majorEastAsia"/>
                <w:sz w:val="24"/>
                <w:szCs w:val="24"/>
              </w:rPr>
              <w:t>1..n——</w:t>
            </w:r>
            <w:r>
              <w:rPr>
                <w:rFonts w:hint="eastAsia" w:ascii="Times New Roman" w:hAnsi="Times New Roman" w:eastAsiaTheme="majorEastAsia"/>
                <w:sz w:val="24"/>
                <w:szCs w:val="24"/>
              </w:rPr>
              <w:t>数据元值域必填，且可出现多次。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0" w:type="dxa"/>
            <w:tcBorders>
              <w:top w:val="single" w:color="auto" w:sz="4" w:space="0"/>
              <w:left w:val="single" w:color="auto" w:sz="8" w:space="0"/>
              <w:bottom w:val="single" w:color="auto" w:sz="8"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ascii="Times New Roman" w:hAnsi="Times New Roman" w:eastAsiaTheme="majorEastAsia"/>
                <w:sz w:val="24"/>
                <w:szCs w:val="24"/>
              </w:rPr>
              <w:t>6</w:t>
            </w:r>
          </w:p>
        </w:tc>
        <w:tc>
          <w:tcPr>
            <w:tcW w:w="1197" w:type="dxa"/>
            <w:tcBorders>
              <w:top w:val="single" w:color="auto" w:sz="4" w:space="0"/>
              <w:left w:val="single" w:color="auto" w:sz="4" w:space="0"/>
              <w:bottom w:val="single" w:color="auto" w:sz="8"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数据格式</w:t>
            </w:r>
          </w:p>
        </w:tc>
        <w:tc>
          <w:tcPr>
            <w:tcW w:w="6846" w:type="dxa"/>
            <w:tcBorders>
              <w:top w:val="single" w:color="auto" w:sz="4" w:space="0"/>
              <w:left w:val="single" w:color="auto" w:sz="4" w:space="0"/>
              <w:bottom w:val="single" w:color="auto" w:sz="8" w:space="0"/>
              <w:right w:val="single" w:color="auto" w:sz="8" w:space="0"/>
            </w:tcBorders>
            <w:vAlign w:val="center"/>
          </w:tcPr>
          <w:p>
            <w:pPr>
              <w:overflowPunct w:val="0"/>
              <w:snapToGrid w:val="0"/>
              <w:spacing w:line="360" w:lineRule="auto"/>
              <w:ind w:firstLine="0" w:firstLineChars="0"/>
              <w:rPr>
                <w:rFonts w:ascii="Times New Roman" w:hAnsi="Times New Roman" w:eastAsiaTheme="majorEastAsia"/>
                <w:sz w:val="24"/>
                <w:szCs w:val="24"/>
              </w:rPr>
            </w:pPr>
            <w:r>
              <w:rPr>
                <w:rFonts w:hint="eastAsia" w:ascii="Times New Roman" w:hAnsi="Times New Roman" w:eastAsiaTheme="majorEastAsia"/>
                <w:sz w:val="24"/>
                <w:szCs w:val="24"/>
              </w:rPr>
              <w:t>数据格式中使用的字符含义如下：</w:t>
            </w:r>
          </w:p>
          <w:p>
            <w:pPr>
              <w:numPr>
                <w:ilvl w:val="0"/>
                <w:numId w:val="2"/>
              </w:numPr>
              <w:overflowPunct w:val="0"/>
              <w:snapToGrid w:val="0"/>
              <w:spacing w:line="360" w:lineRule="auto"/>
              <w:ind w:firstLine="0" w:firstLineChars="0"/>
              <w:rPr>
                <w:rFonts w:ascii="Times New Roman" w:hAnsi="Times New Roman" w:eastAsiaTheme="majorEastAsia"/>
                <w:sz w:val="24"/>
                <w:szCs w:val="24"/>
              </w:rPr>
            </w:pPr>
            <w:r>
              <w:rPr>
                <w:rFonts w:ascii="Times New Roman" w:hAnsi="Times New Roman" w:eastAsiaTheme="majorEastAsia"/>
                <w:sz w:val="24"/>
                <w:szCs w:val="24"/>
              </w:rPr>
              <w:t xml:space="preserve">a = </w:t>
            </w:r>
            <w:r>
              <w:rPr>
                <w:rFonts w:hint="eastAsia" w:ascii="Times New Roman" w:hAnsi="Times New Roman" w:eastAsiaTheme="majorEastAsia"/>
                <w:sz w:val="24"/>
                <w:szCs w:val="24"/>
              </w:rPr>
              <w:t>字母字符；</w:t>
            </w:r>
          </w:p>
          <w:p>
            <w:pPr>
              <w:numPr>
                <w:ilvl w:val="0"/>
                <w:numId w:val="2"/>
              </w:numPr>
              <w:overflowPunct w:val="0"/>
              <w:snapToGrid w:val="0"/>
              <w:spacing w:line="360" w:lineRule="auto"/>
              <w:ind w:firstLine="0" w:firstLineChars="0"/>
              <w:rPr>
                <w:rFonts w:ascii="Times New Roman" w:hAnsi="Times New Roman" w:eastAsiaTheme="majorEastAsia"/>
                <w:sz w:val="24"/>
                <w:szCs w:val="24"/>
              </w:rPr>
            </w:pPr>
            <w:r>
              <w:rPr>
                <w:rFonts w:ascii="Times New Roman" w:hAnsi="Times New Roman" w:eastAsiaTheme="majorEastAsia"/>
                <w:sz w:val="24"/>
                <w:szCs w:val="24"/>
              </w:rPr>
              <w:t xml:space="preserve">n= </w:t>
            </w:r>
            <w:r>
              <w:rPr>
                <w:rFonts w:hint="eastAsia" w:ascii="Times New Roman" w:hAnsi="Times New Roman" w:eastAsiaTheme="majorEastAsia"/>
                <w:sz w:val="24"/>
                <w:szCs w:val="24"/>
              </w:rPr>
              <w:t>数字字符；</w:t>
            </w:r>
          </w:p>
          <w:p>
            <w:pPr>
              <w:numPr>
                <w:ilvl w:val="0"/>
                <w:numId w:val="2"/>
              </w:numPr>
              <w:overflowPunct w:val="0"/>
              <w:snapToGrid w:val="0"/>
              <w:spacing w:line="360" w:lineRule="auto"/>
              <w:ind w:firstLine="0" w:firstLineChars="0"/>
              <w:rPr>
                <w:rFonts w:ascii="Times New Roman" w:hAnsi="Times New Roman" w:eastAsiaTheme="majorEastAsia"/>
                <w:sz w:val="24"/>
                <w:szCs w:val="24"/>
              </w:rPr>
            </w:pPr>
            <w:r>
              <w:rPr>
                <w:rFonts w:ascii="Times New Roman" w:hAnsi="Times New Roman" w:eastAsiaTheme="majorEastAsia"/>
                <w:sz w:val="24"/>
                <w:szCs w:val="24"/>
              </w:rPr>
              <w:t xml:space="preserve">an= </w:t>
            </w:r>
            <w:r>
              <w:rPr>
                <w:rFonts w:hint="eastAsia" w:ascii="Times New Roman" w:hAnsi="Times New Roman" w:eastAsiaTheme="majorEastAsia"/>
                <w:sz w:val="24"/>
                <w:szCs w:val="24"/>
              </w:rPr>
              <w:t>字母数字汉字字符；</w:t>
            </w:r>
          </w:p>
          <w:p>
            <w:pPr>
              <w:numPr>
                <w:ilvl w:val="0"/>
                <w:numId w:val="2"/>
              </w:numPr>
              <w:overflowPunct w:val="0"/>
              <w:snapToGrid w:val="0"/>
              <w:spacing w:line="360" w:lineRule="auto"/>
              <w:ind w:firstLine="0" w:firstLineChars="0"/>
              <w:rPr>
                <w:rFonts w:ascii="Times New Roman" w:hAnsi="Times New Roman" w:eastAsiaTheme="majorEastAsia"/>
                <w:sz w:val="24"/>
                <w:szCs w:val="24"/>
              </w:rPr>
            </w:pPr>
            <w:r>
              <w:rPr>
                <w:rFonts w:ascii="Times New Roman" w:hAnsi="Times New Roman" w:eastAsiaTheme="majorEastAsia"/>
                <w:sz w:val="24"/>
                <w:szCs w:val="24"/>
              </w:rPr>
              <w:t xml:space="preserve">..= </w:t>
            </w:r>
            <w:r>
              <w:rPr>
                <w:rFonts w:hint="eastAsia" w:ascii="Times New Roman" w:hAnsi="Times New Roman" w:eastAsiaTheme="majorEastAsia"/>
                <w:sz w:val="24"/>
                <w:szCs w:val="24"/>
              </w:rPr>
              <w:t>字符型数据的最小长度到最大长度的分隔符；</w:t>
            </w:r>
          </w:p>
          <w:p>
            <w:pPr>
              <w:numPr>
                <w:ilvl w:val="0"/>
                <w:numId w:val="2"/>
              </w:numPr>
              <w:overflowPunct w:val="0"/>
              <w:snapToGrid w:val="0"/>
              <w:spacing w:line="360" w:lineRule="auto"/>
              <w:ind w:firstLine="0" w:firstLineChars="0"/>
              <w:rPr>
                <w:rFonts w:ascii="Times New Roman" w:hAnsi="Times New Roman" w:eastAsiaTheme="majorEastAsia"/>
                <w:sz w:val="24"/>
                <w:szCs w:val="24"/>
              </w:rPr>
            </w:pPr>
            <w:r>
              <w:rPr>
                <w:rFonts w:hint="eastAsia" w:ascii="Times New Roman" w:hAnsi="Times New Roman" w:eastAsiaTheme="majorEastAsia"/>
                <w:sz w:val="24"/>
                <w:szCs w:val="24"/>
              </w:rPr>
              <w:t>，</w:t>
            </w:r>
            <w:r>
              <w:rPr>
                <w:rFonts w:ascii="Times New Roman" w:hAnsi="Times New Roman" w:eastAsiaTheme="majorEastAsia"/>
                <w:sz w:val="24"/>
                <w:szCs w:val="24"/>
              </w:rPr>
              <w:t xml:space="preserve">= </w:t>
            </w:r>
            <w:r>
              <w:rPr>
                <w:rFonts w:hint="eastAsia" w:ascii="Times New Roman" w:hAnsi="Times New Roman" w:eastAsiaTheme="majorEastAsia"/>
                <w:sz w:val="24"/>
                <w:szCs w:val="24"/>
              </w:rPr>
              <w:t>区分数字字符个数与小数点后小数位数的分隔符，即“，”前为数字字符个数，“，”后为小数点后小数位数；</w:t>
            </w:r>
          </w:p>
          <w:p>
            <w:pPr>
              <w:numPr>
                <w:ilvl w:val="0"/>
                <w:numId w:val="2"/>
              </w:numPr>
              <w:overflowPunct w:val="0"/>
              <w:snapToGrid w:val="0"/>
              <w:spacing w:line="360" w:lineRule="auto"/>
              <w:ind w:firstLine="0" w:firstLineChars="0"/>
              <w:rPr>
                <w:rFonts w:ascii="Times New Roman" w:hAnsi="Times New Roman" w:eastAsiaTheme="majorEastAsia"/>
                <w:sz w:val="24"/>
                <w:szCs w:val="24"/>
              </w:rPr>
            </w:pPr>
            <w:r>
              <w:rPr>
                <w:rFonts w:ascii="Times New Roman" w:hAnsi="Times New Roman" w:eastAsiaTheme="majorEastAsia"/>
                <w:sz w:val="24"/>
                <w:szCs w:val="24"/>
              </w:rPr>
              <w:t xml:space="preserve">YYYYMMDDhhmmss  = </w:t>
            </w:r>
            <w:r>
              <w:rPr>
                <w:rFonts w:hint="eastAsia" w:ascii="Times New Roman" w:hAnsi="Times New Roman" w:eastAsiaTheme="majorEastAsia"/>
                <w:sz w:val="24"/>
                <w:szCs w:val="24"/>
              </w:rPr>
              <w:t>“</w:t>
            </w:r>
            <w:r>
              <w:rPr>
                <w:rFonts w:ascii="Times New Roman" w:hAnsi="Times New Roman" w:eastAsiaTheme="majorEastAsia"/>
                <w:sz w:val="24"/>
                <w:szCs w:val="24"/>
              </w:rPr>
              <w:t>YYYY</w:t>
            </w:r>
            <w:r>
              <w:rPr>
                <w:rFonts w:hint="eastAsia" w:ascii="Times New Roman" w:hAnsi="Times New Roman" w:eastAsiaTheme="majorEastAsia"/>
                <w:sz w:val="24"/>
                <w:szCs w:val="24"/>
              </w:rPr>
              <w:t>”表示年份，“</w:t>
            </w:r>
            <w:r>
              <w:rPr>
                <w:rFonts w:ascii="Times New Roman" w:hAnsi="Times New Roman" w:eastAsiaTheme="majorEastAsia"/>
                <w:sz w:val="24"/>
                <w:szCs w:val="24"/>
              </w:rPr>
              <w:t>MM</w:t>
            </w:r>
            <w:r>
              <w:rPr>
                <w:rFonts w:hint="eastAsia" w:ascii="Times New Roman" w:hAnsi="Times New Roman" w:eastAsiaTheme="majorEastAsia"/>
                <w:sz w:val="24"/>
                <w:szCs w:val="24"/>
              </w:rPr>
              <w:t>”表示月份，“</w:t>
            </w:r>
            <w:r>
              <w:rPr>
                <w:rFonts w:ascii="Times New Roman" w:hAnsi="Times New Roman" w:eastAsiaTheme="majorEastAsia"/>
                <w:sz w:val="24"/>
                <w:szCs w:val="24"/>
              </w:rPr>
              <w:t>DD</w:t>
            </w:r>
            <w:r>
              <w:rPr>
                <w:rFonts w:hint="eastAsia" w:ascii="Times New Roman" w:hAnsi="Times New Roman" w:eastAsiaTheme="majorEastAsia"/>
                <w:sz w:val="24"/>
                <w:szCs w:val="24"/>
              </w:rPr>
              <w:t>”表示日期，“</w:t>
            </w:r>
            <w:r>
              <w:rPr>
                <w:rFonts w:ascii="Times New Roman" w:hAnsi="Times New Roman" w:eastAsiaTheme="majorEastAsia"/>
                <w:sz w:val="24"/>
                <w:szCs w:val="24"/>
              </w:rPr>
              <w:t>hh</w:t>
            </w:r>
            <w:r>
              <w:rPr>
                <w:rFonts w:hint="eastAsia" w:ascii="Times New Roman" w:hAnsi="Times New Roman" w:eastAsiaTheme="majorEastAsia"/>
                <w:sz w:val="24"/>
                <w:szCs w:val="24"/>
              </w:rPr>
              <w:t>”表示小时，“</w:t>
            </w:r>
            <w:r>
              <w:rPr>
                <w:rFonts w:ascii="Times New Roman" w:hAnsi="Times New Roman" w:eastAsiaTheme="majorEastAsia"/>
                <w:sz w:val="24"/>
                <w:szCs w:val="24"/>
              </w:rPr>
              <w:t>mm</w:t>
            </w:r>
            <w:r>
              <w:rPr>
                <w:rFonts w:hint="eastAsia" w:ascii="Times New Roman" w:hAnsi="Times New Roman" w:eastAsiaTheme="majorEastAsia"/>
                <w:sz w:val="24"/>
                <w:szCs w:val="24"/>
              </w:rPr>
              <w:t>”表示分钟，“</w:t>
            </w:r>
            <w:r>
              <w:rPr>
                <w:rFonts w:ascii="Times New Roman" w:hAnsi="Times New Roman" w:eastAsiaTheme="majorEastAsia"/>
                <w:sz w:val="24"/>
                <w:szCs w:val="24"/>
              </w:rPr>
              <w:t>ss</w:t>
            </w:r>
            <w:r>
              <w:rPr>
                <w:rFonts w:hint="eastAsia" w:ascii="Times New Roman" w:hAnsi="Times New Roman" w:eastAsiaTheme="majorEastAsia"/>
                <w:sz w:val="24"/>
                <w:szCs w:val="24"/>
              </w:rPr>
              <w:t>”表示秒，可以视具体实际情况组合使用；</w:t>
            </w:r>
          </w:p>
          <w:p>
            <w:pPr>
              <w:overflowPunct w:val="0"/>
              <w:snapToGrid w:val="0"/>
              <w:spacing w:line="360" w:lineRule="auto"/>
              <w:ind w:firstLine="0" w:firstLineChars="0"/>
              <w:rPr>
                <w:rFonts w:ascii="Times New Roman" w:hAnsi="Times New Roman" w:eastAsiaTheme="majorEastAsia"/>
                <w:sz w:val="24"/>
                <w:szCs w:val="24"/>
              </w:rPr>
            </w:pPr>
            <w:r>
              <w:rPr>
                <w:rFonts w:hint="eastAsia" w:ascii="Times New Roman" w:hAnsi="Times New Roman" w:eastAsiaTheme="majorEastAsia"/>
                <w:sz w:val="24"/>
                <w:szCs w:val="24"/>
              </w:rPr>
              <w:t>示例</w:t>
            </w:r>
            <w:r>
              <w:rPr>
                <w:rFonts w:ascii="Times New Roman" w:hAnsi="Times New Roman" w:eastAsiaTheme="majorEastAsia"/>
                <w:sz w:val="24"/>
                <w:szCs w:val="24"/>
              </w:rPr>
              <w:t>1</w:t>
            </w:r>
            <w:r>
              <w:rPr>
                <w:rFonts w:hint="eastAsia" w:ascii="Times New Roman" w:hAnsi="Times New Roman" w:eastAsiaTheme="majorEastAsia"/>
                <w:sz w:val="24"/>
                <w:szCs w:val="24"/>
              </w:rPr>
              <w:t>：</w:t>
            </w:r>
          </w:p>
          <w:p>
            <w:pPr>
              <w:overflowPunct w:val="0"/>
              <w:snapToGrid w:val="0"/>
              <w:spacing w:line="360" w:lineRule="auto"/>
              <w:ind w:firstLine="0" w:firstLineChars="0"/>
              <w:jc w:val="center"/>
              <w:rPr>
                <w:rFonts w:ascii="Times New Roman" w:hAnsi="Times New Roman" w:eastAsiaTheme="majorEastAsia"/>
                <w:sz w:val="24"/>
                <w:szCs w:val="24"/>
              </w:rPr>
            </w:pPr>
            <w:r>
              <w:rPr>
                <w:rFonts w:ascii="Times New Roman" w:hAnsi="Times New Roman" w:eastAsiaTheme="majorEastAsia"/>
                <w:sz w:val="24"/>
                <w:szCs w:val="24"/>
              </w:rPr>
              <w:t xml:space="preserve">an3..8 </w:t>
            </w:r>
            <w:r>
              <w:rPr>
                <w:rFonts w:hint="eastAsia" w:ascii="Times New Roman" w:hAnsi="Times New Roman" w:eastAsiaTheme="majorEastAsia"/>
                <w:sz w:val="24"/>
                <w:szCs w:val="24"/>
              </w:rPr>
              <w:t>表示最大长度为</w:t>
            </w:r>
            <w:r>
              <w:rPr>
                <w:rFonts w:ascii="Times New Roman" w:hAnsi="Times New Roman" w:eastAsiaTheme="majorEastAsia"/>
                <w:sz w:val="24"/>
                <w:szCs w:val="24"/>
              </w:rPr>
              <w:t>8</w:t>
            </w:r>
            <w:r>
              <w:rPr>
                <w:rFonts w:hint="eastAsia" w:ascii="Times New Roman" w:hAnsi="Times New Roman" w:eastAsiaTheme="majorEastAsia"/>
                <w:sz w:val="24"/>
                <w:szCs w:val="24"/>
              </w:rPr>
              <w:t>，最小长度为</w:t>
            </w:r>
            <w:r>
              <w:rPr>
                <w:rFonts w:ascii="Times New Roman" w:hAnsi="Times New Roman" w:eastAsiaTheme="majorEastAsia"/>
                <w:sz w:val="24"/>
                <w:szCs w:val="24"/>
              </w:rPr>
              <w:t>3</w:t>
            </w:r>
            <w:r>
              <w:rPr>
                <w:rFonts w:hint="eastAsia" w:ascii="Times New Roman" w:hAnsi="Times New Roman" w:eastAsiaTheme="majorEastAsia"/>
                <w:sz w:val="24"/>
                <w:szCs w:val="24"/>
              </w:rPr>
              <w:t>的不定长字符。</w:t>
            </w:r>
          </w:p>
          <w:p>
            <w:pPr>
              <w:overflowPunct w:val="0"/>
              <w:snapToGrid w:val="0"/>
              <w:spacing w:line="360" w:lineRule="auto"/>
              <w:ind w:firstLine="0" w:firstLineChars="0"/>
              <w:rPr>
                <w:rFonts w:ascii="Times New Roman" w:hAnsi="Times New Roman" w:eastAsiaTheme="majorEastAsia"/>
                <w:sz w:val="24"/>
                <w:szCs w:val="24"/>
              </w:rPr>
            </w:pPr>
            <w:r>
              <w:rPr>
                <w:rFonts w:hint="eastAsia" w:ascii="Times New Roman" w:hAnsi="Times New Roman" w:eastAsiaTheme="majorEastAsia"/>
                <w:sz w:val="24"/>
                <w:szCs w:val="24"/>
              </w:rPr>
              <w:t>示例</w:t>
            </w:r>
            <w:r>
              <w:rPr>
                <w:rFonts w:ascii="Times New Roman" w:hAnsi="Times New Roman" w:eastAsiaTheme="majorEastAsia"/>
                <w:sz w:val="24"/>
                <w:szCs w:val="24"/>
              </w:rPr>
              <w:t>2</w:t>
            </w:r>
            <w:r>
              <w:rPr>
                <w:rFonts w:hint="eastAsia" w:ascii="Times New Roman" w:hAnsi="Times New Roman" w:eastAsiaTheme="majorEastAsia"/>
                <w:sz w:val="24"/>
                <w:szCs w:val="24"/>
              </w:rPr>
              <w:t>：</w:t>
            </w:r>
          </w:p>
          <w:p>
            <w:pPr>
              <w:overflowPunct w:val="0"/>
              <w:snapToGrid w:val="0"/>
              <w:spacing w:line="360" w:lineRule="auto"/>
              <w:ind w:firstLine="240" w:firstLineChars="100"/>
              <w:rPr>
                <w:rFonts w:ascii="Times New Roman" w:hAnsi="Times New Roman" w:eastAsiaTheme="majorEastAsia"/>
                <w:sz w:val="24"/>
                <w:szCs w:val="24"/>
              </w:rPr>
            </w:pPr>
            <w:r>
              <w:rPr>
                <w:rFonts w:ascii="Times New Roman" w:hAnsi="Times New Roman" w:eastAsiaTheme="majorEastAsia"/>
                <w:sz w:val="24"/>
                <w:szCs w:val="24"/>
              </w:rPr>
              <w:t>an5(aannn)</w:t>
            </w:r>
            <w:r>
              <w:rPr>
                <w:rFonts w:hint="eastAsia" w:ascii="Times New Roman" w:hAnsi="Times New Roman" w:eastAsiaTheme="majorEastAsia"/>
                <w:sz w:val="24"/>
                <w:szCs w:val="24"/>
              </w:rPr>
              <w:t>表示定长</w:t>
            </w:r>
            <w:r>
              <w:rPr>
                <w:rFonts w:ascii="Times New Roman" w:hAnsi="Times New Roman" w:eastAsiaTheme="majorEastAsia"/>
                <w:sz w:val="24"/>
                <w:szCs w:val="24"/>
              </w:rPr>
              <w:t>5</w:t>
            </w:r>
            <w:r>
              <w:rPr>
                <w:rFonts w:hint="eastAsia" w:ascii="Times New Roman" w:hAnsi="Times New Roman" w:eastAsiaTheme="majorEastAsia"/>
                <w:sz w:val="24"/>
                <w:szCs w:val="24"/>
              </w:rPr>
              <w:t>个字母数字字符，前</w:t>
            </w:r>
            <w:r>
              <w:rPr>
                <w:rFonts w:ascii="Times New Roman" w:hAnsi="Times New Roman" w:eastAsiaTheme="majorEastAsia"/>
                <w:sz w:val="24"/>
                <w:szCs w:val="24"/>
              </w:rPr>
              <w:t>2</w:t>
            </w:r>
            <w:r>
              <w:rPr>
                <w:rFonts w:hint="eastAsia" w:ascii="Times New Roman" w:hAnsi="Times New Roman" w:eastAsiaTheme="majorEastAsia"/>
                <w:sz w:val="24"/>
                <w:szCs w:val="24"/>
              </w:rPr>
              <w:t>个为字母字符，后</w:t>
            </w:r>
            <w:r>
              <w:rPr>
                <w:rFonts w:ascii="Times New Roman" w:hAnsi="Times New Roman" w:eastAsiaTheme="majorEastAsia"/>
                <w:sz w:val="24"/>
                <w:szCs w:val="24"/>
              </w:rPr>
              <w:t>3</w:t>
            </w:r>
            <w:r>
              <w:rPr>
                <w:rFonts w:hint="eastAsia" w:ascii="Times New Roman" w:hAnsi="Times New Roman" w:eastAsiaTheme="majorEastAsia"/>
                <w:sz w:val="24"/>
                <w:szCs w:val="24"/>
              </w:rPr>
              <w:t>个为数字字符。</w:t>
            </w:r>
          </w:p>
          <w:p>
            <w:pPr>
              <w:overflowPunct w:val="0"/>
              <w:snapToGrid w:val="0"/>
              <w:spacing w:line="360" w:lineRule="auto"/>
              <w:ind w:firstLine="0" w:firstLineChars="0"/>
              <w:rPr>
                <w:rFonts w:ascii="Times New Roman" w:hAnsi="Times New Roman" w:eastAsiaTheme="majorEastAsia"/>
                <w:sz w:val="24"/>
                <w:szCs w:val="24"/>
              </w:rPr>
            </w:pPr>
            <w:r>
              <w:rPr>
                <w:rFonts w:hint="eastAsia" w:ascii="Times New Roman" w:hAnsi="Times New Roman" w:eastAsiaTheme="majorEastAsia"/>
                <w:sz w:val="24"/>
                <w:szCs w:val="24"/>
              </w:rPr>
              <w:t>示例</w:t>
            </w:r>
            <w:r>
              <w:rPr>
                <w:rFonts w:ascii="Times New Roman" w:hAnsi="Times New Roman" w:eastAsiaTheme="majorEastAsia"/>
                <w:sz w:val="24"/>
                <w:szCs w:val="24"/>
              </w:rPr>
              <w:t>3</w:t>
            </w:r>
            <w:r>
              <w:rPr>
                <w:rFonts w:hint="eastAsia" w:ascii="Times New Roman" w:hAnsi="Times New Roman" w:eastAsiaTheme="majorEastAsia"/>
                <w:sz w:val="24"/>
                <w:szCs w:val="24"/>
              </w:rPr>
              <w:t>：</w:t>
            </w:r>
          </w:p>
          <w:p>
            <w:pPr>
              <w:overflowPunct w:val="0"/>
              <w:snapToGrid w:val="0"/>
              <w:spacing w:line="360" w:lineRule="auto"/>
              <w:ind w:firstLine="0" w:firstLineChars="0"/>
              <w:rPr>
                <w:rFonts w:ascii="Times New Roman" w:hAnsi="Times New Roman" w:eastAsiaTheme="majorEastAsia"/>
                <w:sz w:val="24"/>
                <w:szCs w:val="24"/>
              </w:rPr>
            </w:pPr>
            <w:r>
              <w:rPr>
                <w:rFonts w:ascii="Times New Roman" w:hAnsi="Times New Roman" w:eastAsiaTheme="majorEastAsia"/>
                <w:sz w:val="24"/>
                <w:szCs w:val="24"/>
              </w:rPr>
              <w:t xml:space="preserve">  n..8,4</w:t>
            </w:r>
            <w:r>
              <w:rPr>
                <w:rFonts w:hint="eastAsia" w:ascii="Times New Roman" w:hAnsi="Times New Roman" w:eastAsiaTheme="majorEastAsia"/>
                <w:sz w:val="24"/>
                <w:szCs w:val="24"/>
              </w:rPr>
              <w:t>表示该数值最大长度为八位数字字符、小数点后四位数字。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0" w:type="dxa"/>
            <w:tcBorders>
              <w:top w:val="single" w:color="auto" w:sz="4" w:space="0"/>
              <w:left w:val="single" w:color="auto" w:sz="8" w:space="0"/>
              <w:bottom w:val="single" w:color="auto" w:sz="8"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ascii="Times New Roman" w:hAnsi="Times New Roman" w:eastAsiaTheme="majorEastAsia"/>
                <w:sz w:val="24"/>
                <w:szCs w:val="24"/>
              </w:rPr>
              <w:t>7</w:t>
            </w:r>
          </w:p>
        </w:tc>
        <w:tc>
          <w:tcPr>
            <w:tcW w:w="1197" w:type="dxa"/>
            <w:tcBorders>
              <w:top w:val="single" w:color="auto" w:sz="4" w:space="0"/>
              <w:left w:val="single" w:color="auto" w:sz="4" w:space="0"/>
              <w:bottom w:val="single" w:color="auto" w:sz="8"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引用文件</w:t>
            </w:r>
          </w:p>
        </w:tc>
        <w:tc>
          <w:tcPr>
            <w:tcW w:w="6846" w:type="dxa"/>
            <w:tcBorders>
              <w:top w:val="single" w:color="auto" w:sz="4" w:space="0"/>
              <w:left w:val="single" w:color="auto" w:sz="4" w:space="0"/>
              <w:bottom w:val="single" w:color="auto" w:sz="8" w:space="0"/>
              <w:right w:val="single" w:color="auto" w:sz="8"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代码型数据元值域引用的标准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0" w:type="dxa"/>
            <w:tcBorders>
              <w:top w:val="single" w:color="auto" w:sz="4" w:space="0"/>
              <w:left w:val="single" w:color="auto" w:sz="8" w:space="0"/>
              <w:bottom w:val="single" w:color="auto" w:sz="8"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ascii="Times New Roman" w:hAnsi="Times New Roman" w:eastAsiaTheme="majorEastAsia"/>
                <w:sz w:val="24"/>
                <w:szCs w:val="24"/>
              </w:rPr>
              <w:t>8</w:t>
            </w:r>
          </w:p>
        </w:tc>
        <w:tc>
          <w:tcPr>
            <w:tcW w:w="1197" w:type="dxa"/>
            <w:tcBorders>
              <w:top w:val="single" w:color="auto" w:sz="4" w:space="0"/>
              <w:left w:val="single" w:color="auto" w:sz="4" w:space="0"/>
              <w:bottom w:val="single" w:color="auto" w:sz="8" w:space="0"/>
              <w:right w:val="single" w:color="auto" w:sz="4"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说明</w:t>
            </w:r>
          </w:p>
        </w:tc>
        <w:tc>
          <w:tcPr>
            <w:tcW w:w="6846" w:type="dxa"/>
            <w:tcBorders>
              <w:top w:val="single" w:color="auto" w:sz="4" w:space="0"/>
              <w:left w:val="single" w:color="auto" w:sz="4" w:space="0"/>
              <w:bottom w:val="single" w:color="auto" w:sz="8" w:space="0"/>
              <w:right w:val="single" w:color="auto" w:sz="8" w:space="0"/>
            </w:tcBorders>
            <w:vAlign w:val="center"/>
          </w:tcPr>
          <w:p>
            <w:pPr>
              <w:overflowPunct w:val="0"/>
              <w:snapToGrid w:val="0"/>
              <w:spacing w:line="360" w:lineRule="auto"/>
              <w:ind w:firstLine="0" w:firstLineChars="0"/>
              <w:jc w:val="center"/>
              <w:rPr>
                <w:rFonts w:ascii="Times New Roman" w:hAnsi="Times New Roman" w:eastAsiaTheme="majorEastAsia"/>
                <w:sz w:val="24"/>
                <w:szCs w:val="24"/>
              </w:rPr>
            </w:pPr>
            <w:r>
              <w:rPr>
                <w:rFonts w:hint="eastAsia" w:ascii="Times New Roman" w:hAnsi="Times New Roman" w:eastAsiaTheme="majorEastAsia"/>
                <w:sz w:val="24"/>
                <w:szCs w:val="24"/>
              </w:rPr>
              <w:t>对数据元的简要解释和应用说明</w:t>
            </w:r>
          </w:p>
        </w:tc>
      </w:tr>
    </w:tbl>
    <w:p>
      <w:pPr>
        <w:overflowPunct w:val="0"/>
        <w:snapToGrid w:val="0"/>
        <w:spacing w:before="156" w:beforeLines="50" w:after="156" w:afterLines="50" w:line="360" w:lineRule="auto"/>
        <w:ind w:firstLine="643"/>
        <w:rPr>
          <w:rFonts w:ascii="Times New Roman" w:hAnsi="Times New Roman"/>
          <w:b/>
        </w:rPr>
      </w:pPr>
    </w:p>
    <w:p>
      <w:pPr>
        <w:overflowPunct w:val="0"/>
        <w:snapToGrid w:val="0"/>
        <w:spacing w:before="156" w:beforeLines="50" w:after="156" w:afterLines="50" w:line="360" w:lineRule="auto"/>
        <w:ind w:firstLine="0" w:firstLineChars="0"/>
        <w:rPr>
          <w:rFonts w:ascii="Times New Roman" w:hAnsi="Times New Roman"/>
          <w:b/>
        </w:rPr>
        <w:sectPr>
          <w:footerReference r:id="rId10" w:type="default"/>
          <w:pgSz w:w="11906" w:h="16838"/>
          <w:pgMar w:top="1418" w:right="1418" w:bottom="1418" w:left="1701" w:header="992" w:footer="992" w:gutter="0"/>
          <w:pgNumType w:start="1"/>
          <w:cols w:space="425" w:num="1"/>
          <w:docGrid w:type="linesAndChars" w:linePitch="312" w:charSpace="0"/>
        </w:sectPr>
      </w:pPr>
    </w:p>
    <w:p>
      <w:pPr>
        <w:pStyle w:val="3"/>
        <w:numPr>
          <w:ilvl w:val="0"/>
          <w:numId w:val="0"/>
        </w:numPr>
        <w:overflowPunct w:val="0"/>
        <w:snapToGrid w:val="0"/>
        <w:spacing w:before="217" w:after="217" w:line="360" w:lineRule="auto"/>
        <w:jc w:val="both"/>
        <w:rPr>
          <w:rFonts w:ascii="Times New Roman" w:hAnsi="Times New Roman" w:eastAsia="黑体"/>
          <w:b w:val="0"/>
        </w:rPr>
      </w:pPr>
      <w:bookmarkStart w:id="7" w:name="_Toc476581368"/>
      <w:r>
        <w:rPr>
          <w:rFonts w:ascii="Times New Roman" w:hAnsi="Times New Roman" w:eastAsia="黑体"/>
          <w:b w:val="0"/>
        </w:rPr>
        <w:t xml:space="preserve">4.1 </w:t>
      </w:r>
      <w:r>
        <w:rPr>
          <w:rFonts w:hint="eastAsia" w:ascii="Times New Roman" w:hAnsi="Times New Roman" w:eastAsia="黑体"/>
          <w:b w:val="0"/>
        </w:rPr>
        <w:t>无车承运人运单技术规范</w:t>
      </w:r>
      <w:bookmarkEnd w:id="7"/>
    </w:p>
    <w:tbl>
      <w:tblPr>
        <w:tblStyle w:val="25"/>
        <w:tblW w:w="14218" w:type="dxa"/>
        <w:tblInd w:w="0" w:type="dxa"/>
        <w:tblLayout w:type="fixed"/>
        <w:tblCellMar>
          <w:top w:w="0" w:type="dxa"/>
          <w:left w:w="108" w:type="dxa"/>
          <w:bottom w:w="0" w:type="dxa"/>
          <w:right w:w="108" w:type="dxa"/>
        </w:tblCellMar>
      </w:tblPr>
      <w:tblGrid>
        <w:gridCol w:w="817"/>
        <w:gridCol w:w="993"/>
        <w:gridCol w:w="1561"/>
        <w:gridCol w:w="2974"/>
        <w:gridCol w:w="1700"/>
        <w:gridCol w:w="995"/>
        <w:gridCol w:w="992"/>
        <w:gridCol w:w="1416"/>
        <w:gridCol w:w="2770"/>
      </w:tblGrid>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序号</w:t>
            </w: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报文层</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分类编号</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英文名称</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中文名称</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约束</w:t>
            </w:r>
            <w:r>
              <w:rPr>
                <w:rFonts w:ascii="Times New Roman" w:hAnsi="Times New Roman" w:cs="宋体" w:eastAsiaTheme="majorEastAsia"/>
                <w:kern w:val="0"/>
                <w:sz w:val="24"/>
                <w:szCs w:val="24"/>
              </w:rPr>
              <w:t>/</w:t>
            </w:r>
            <w:r>
              <w:rPr>
                <w:rFonts w:hint="eastAsia" w:ascii="Times New Roman" w:hAnsi="Times New Roman" w:cs="宋体" w:eastAsiaTheme="majorEastAsia"/>
                <w:kern w:val="0"/>
                <w:sz w:val="24"/>
                <w:szCs w:val="24"/>
              </w:rPr>
              <w:t>出现次数</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数据格式</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引用文件</w:t>
            </w: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说明</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left="284" w:firstLine="180" w:firstLineChars="75"/>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Root</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根</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2</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Header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报文头</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WL0000062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MessageReferenceNumber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报文参考号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an..35</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报文的唯一标识符，由系统按</w:t>
            </w:r>
            <w:r>
              <w:rPr>
                <w:rFonts w:ascii="Times New Roman" w:hAnsi="Times New Roman" w:cs="宋体" w:eastAsiaTheme="majorEastAsia"/>
                <w:kern w:val="0"/>
                <w:sz w:val="24"/>
                <w:szCs w:val="24"/>
              </w:rPr>
              <w:t>GUID</w:t>
            </w:r>
            <w:r>
              <w:rPr>
                <w:rFonts w:hint="eastAsia" w:ascii="Times New Roman" w:hAnsi="Times New Roman" w:cs="宋体" w:eastAsiaTheme="majorEastAsia"/>
                <w:kern w:val="0"/>
                <w:sz w:val="24"/>
                <w:szCs w:val="24"/>
              </w:rPr>
              <w:t>规则自动产生</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WL0100000</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DocumentName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单证名称</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an..35</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无车承运人电子路单</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WL0000052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DocumentVersionNumber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报文版本号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an..17</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2015WCCYR</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WL0900813</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SenderCode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发送方代码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an..20</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无车承运人物流交换代码</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WL0900817</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RecipientCode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接收方代码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an..20</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监测平台代码</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WL0200863</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MessageSendingDateTime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发送日期时间</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n14</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YYYYMMDDhhmmss</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WL0100225</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MessageFunctionCode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报文功能代码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an..3</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GB/T 16833-2011</w:t>
            </w: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标识本报文是初始报文，还是变更后的报文（如果是变更后的报文，则托运单号需跟变更之前的报文的托运单号一致）。参见代码集</w:t>
            </w:r>
            <w:r>
              <w:rPr>
                <w:rFonts w:ascii="Times New Roman" w:hAnsi="Times New Roman" w:cs="宋体" w:eastAsiaTheme="majorEastAsia"/>
                <w:kern w:val="0"/>
                <w:sz w:val="24"/>
                <w:szCs w:val="24"/>
              </w:rPr>
              <w:t>4.2.1</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2</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Body</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报文体</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WL0100820</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OriginalDocumentNumber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原始单号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an..35</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必填。上游企业委托运输单号</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WL0100802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ShippingNoteNumber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托运单号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an..20</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必填。本电子路单号</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WL0300126</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Carrier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承运人</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an..512</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必填。无车承运试点企业名称</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WL0300807</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UnifiedSocialCreditIdentifier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统一社会信用代码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an18</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选填，无车承运人的统一社会信用代码</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WL0300926</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PermitNumber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许可证编号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an..50</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选填，无车承运人的道路运输经营许可证（无车承运）编号</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WL0200805</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ConsignmentDateTime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托运日期时间</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n14</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必填。无车承运人系统正式生成运单的日期时间，</w:t>
            </w:r>
            <w:r>
              <w:rPr>
                <w:rFonts w:ascii="Times New Roman" w:hAnsi="Times New Roman" w:cs="宋体" w:eastAsiaTheme="majorEastAsia"/>
                <w:kern w:val="0"/>
                <w:sz w:val="24"/>
                <w:szCs w:val="24"/>
              </w:rPr>
              <w:t>YYYYMMDDhhmmss</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WL0800903</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BusinessTypeCode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业务类型代码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an..7</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GB/T 26820</w:t>
            </w: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必填。详见代码集</w:t>
            </w:r>
            <w:r>
              <w:rPr>
                <w:rFonts w:ascii="Times New Roman" w:hAnsi="Times New Roman" w:cs="宋体" w:eastAsiaTheme="majorEastAsia"/>
                <w:kern w:val="0"/>
                <w:sz w:val="24"/>
                <w:szCs w:val="24"/>
              </w:rPr>
              <w:t>4.2.2</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WL0200171</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DespatchActualDateTime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发运实际日期时间</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n14</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必填。货物装车后的发车时间</w:t>
            </w:r>
            <w:r>
              <w:rPr>
                <w:rFonts w:ascii="Times New Roman" w:hAnsi="Times New Roman" w:cs="宋体" w:eastAsiaTheme="majorEastAsia"/>
                <w:kern w:val="0"/>
                <w:sz w:val="24"/>
                <w:szCs w:val="24"/>
              </w:rPr>
              <w:t>YYYYMMDDhhmmss</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WL0200441</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GoodsReceiptDateTime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收货日期时间</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n14</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必填。货物运到后的签收时间。如签收时间无法确定，填货物运到收货地的时间</w:t>
            </w:r>
            <w:r>
              <w:rPr>
                <w:rFonts w:ascii="Times New Roman" w:hAnsi="Times New Roman" w:cs="宋体" w:eastAsiaTheme="majorEastAsia"/>
                <w:kern w:val="0"/>
                <w:sz w:val="24"/>
                <w:szCs w:val="24"/>
              </w:rPr>
              <w:t>YYYYMMDDhhmmss</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ConsignorInfo</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发货方信息</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WL0300336</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Consignor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发货人</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an..512</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选填。单位或个人，如集装箱运输业务无法明确实际发货人可填货代信息</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WL0100194</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PersonalIdentityDocument</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个人证件号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an..35</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WL0300334</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PlaceOfLoading</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装货地点</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an..256</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选填。实际装货的地点</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WL0300229</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CountrySubdivisionCode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国家行政区划代码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an..12</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必填。装货地点的国家行政区划代码，参照</w:t>
            </w:r>
            <w:r>
              <w:rPr>
                <w:rFonts w:ascii="Times New Roman" w:hAnsi="Times New Roman" w:cs="宋体" w:eastAsiaTheme="majorEastAsia"/>
                <w:kern w:val="0"/>
                <w:sz w:val="24"/>
                <w:szCs w:val="24"/>
              </w:rPr>
              <w:t>GB/T 2260</w:t>
            </w:r>
            <w:r>
              <w:rPr>
                <w:rFonts w:hint="eastAsia" w:ascii="Times New Roman" w:hAnsi="Times New Roman" w:cs="宋体" w:eastAsiaTheme="majorEastAsia"/>
                <w:kern w:val="0"/>
                <w:sz w:val="24"/>
                <w:szCs w:val="24"/>
              </w:rPr>
              <w:t>《中华人民共和国行政区划代码》的代码，精确到区县。</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ConsigneeInfo</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收货方信息</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WL0300132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Consignee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收货人</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an..512</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选填。单位或个人</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WL0300160</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GoodsReceiptPlace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收货地点</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an..256</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选填。具体的收货地址</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WL0300229</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CountrySubdivisionCode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国家行政区划代码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an..12</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GB/T 2260</w:t>
            </w:r>
            <w:r>
              <w:rPr>
                <w:rFonts w:hint="eastAsia" w:ascii="Times New Roman" w:hAnsi="Times New Roman" w:cs="宋体" w:eastAsiaTheme="majorEastAsia"/>
                <w:kern w:val="0"/>
                <w:sz w:val="24"/>
                <w:szCs w:val="24"/>
              </w:rPr>
              <w:t>的数字代码</w:t>
            </w: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必填。收货地点的国家行政区划代码，参照</w:t>
            </w:r>
            <w:r>
              <w:rPr>
                <w:rFonts w:ascii="Times New Roman" w:hAnsi="Times New Roman" w:cs="宋体" w:eastAsiaTheme="majorEastAsia"/>
                <w:kern w:val="0"/>
                <w:sz w:val="24"/>
                <w:szCs w:val="24"/>
              </w:rPr>
              <w:t>GB/T 2260</w:t>
            </w:r>
            <w:r>
              <w:rPr>
                <w:rFonts w:hint="eastAsia" w:ascii="Times New Roman" w:hAnsi="Times New Roman" w:cs="宋体" w:eastAsiaTheme="majorEastAsia"/>
                <w:kern w:val="0"/>
                <w:sz w:val="24"/>
                <w:szCs w:val="24"/>
              </w:rPr>
              <w:t>《中华人民共和国行政区划代码》的代码，精确到区县。</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PriceInfo</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费用信息</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WL0500160</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TotalMonetaryAmount</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货币总金额</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n..18,3</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必填。托运人付给无车承运人企业的运输费用，货币单位为人民币，保留</w:t>
            </w:r>
            <w:r>
              <w:rPr>
                <w:rFonts w:ascii="Times New Roman" w:hAnsi="Times New Roman" w:cs="宋体" w:eastAsiaTheme="majorEastAsia"/>
                <w:kern w:val="0"/>
                <w:sz w:val="24"/>
                <w:szCs w:val="24"/>
              </w:rPr>
              <w:t>3</w:t>
            </w:r>
            <w:r>
              <w:rPr>
                <w:rFonts w:hint="eastAsia" w:ascii="Times New Roman" w:hAnsi="Times New Roman" w:cs="宋体" w:eastAsiaTheme="majorEastAsia"/>
                <w:kern w:val="0"/>
                <w:sz w:val="24"/>
                <w:szCs w:val="24"/>
              </w:rPr>
              <w:t>位小数，如整数的话，以</w:t>
            </w:r>
            <w:r>
              <w:rPr>
                <w:rFonts w:ascii="Times New Roman" w:hAnsi="Times New Roman" w:cs="宋体" w:eastAsiaTheme="majorEastAsia"/>
                <w:kern w:val="0"/>
                <w:sz w:val="24"/>
                <w:szCs w:val="24"/>
              </w:rPr>
              <w:t>.000</w:t>
            </w:r>
            <w:r>
              <w:rPr>
                <w:rFonts w:hint="eastAsia" w:ascii="Times New Roman" w:hAnsi="Times New Roman" w:cs="宋体" w:eastAsiaTheme="majorEastAsia"/>
                <w:kern w:val="0"/>
                <w:sz w:val="24"/>
                <w:szCs w:val="24"/>
              </w:rPr>
              <w:t>填充。如是一笔业务分几辆车运，需将托运人针对这笔业务付给无车承运人企业的运输费用分摊到每辆车上。</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WL0900842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Remark</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备注</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an..256</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VehicleInfo</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车辆信息</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WL0800819</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LicensePlateTypeCode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牌照类型代码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an..20</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GA 24.7</w:t>
            </w: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必填。详见代码集</w:t>
            </w:r>
            <w:r>
              <w:rPr>
                <w:rFonts w:ascii="Times New Roman" w:hAnsi="Times New Roman" w:cs="宋体" w:eastAsiaTheme="majorEastAsia"/>
                <w:kern w:val="0"/>
                <w:sz w:val="24"/>
                <w:szCs w:val="24"/>
              </w:rPr>
              <w:t>4.2.3</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WL0800802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VehicleNumber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车辆牌照号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an..35</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WL0800801</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VehicleClassificationCode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车辆分类代码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an..12</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GA 24.4</w:t>
            </w: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必填。详见代码集</w:t>
            </w:r>
            <w:r>
              <w:rPr>
                <w:rFonts w:ascii="Times New Roman" w:hAnsi="Times New Roman" w:cs="宋体" w:eastAsiaTheme="majorEastAsia"/>
                <w:kern w:val="0"/>
                <w:sz w:val="24"/>
                <w:szCs w:val="24"/>
              </w:rPr>
              <w:t>4.2.4</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WL0800812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VehicleTonnage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车辆载质量</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n..9,2</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必填。默认单位：吨，保留两位小数，如整数的话，以</w:t>
            </w:r>
            <w:r>
              <w:rPr>
                <w:rFonts w:ascii="Times New Roman" w:hAnsi="Times New Roman" w:cs="宋体" w:eastAsiaTheme="majorEastAsia"/>
                <w:kern w:val="0"/>
                <w:sz w:val="24"/>
                <w:szCs w:val="24"/>
              </w:rPr>
              <w:t>.00</w:t>
            </w:r>
            <w:r>
              <w:rPr>
                <w:rFonts w:hint="eastAsia" w:ascii="Times New Roman" w:hAnsi="Times New Roman" w:cs="宋体" w:eastAsiaTheme="majorEastAsia"/>
                <w:kern w:val="0"/>
                <w:sz w:val="24"/>
                <w:szCs w:val="24"/>
              </w:rPr>
              <w:t>填充。小数点不计入总长。</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WL0800816</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RoadTransportCertificateNumber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道路运输证号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n12</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必填。车辆的道路运输证号，填道路运输证证件编号</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WL0800962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TrailerVehiclePlateNumber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挂车牌照号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an..35</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WL0300920</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Owner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所有人</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an..256</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选填。车辆所有人（或企业）的名称或姓名</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WL0300926</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PermitNumber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许可证编号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an..50</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选填。车辆所属业户的道路运输经营许可证编号</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Driver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驾驶员</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0..n</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选填。如运输过程中有多个驾驶员，可循环</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5</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WL0300404</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NameOfPerson</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姓名</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an..30</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选填。驾驶员姓名</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5</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WL0100810</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QualificationCertificateNumber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从业资格证号</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an..19</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选填。驾驶员从业资格证号</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5</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WL0300869</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TelephoneNumber</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电话号码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an..18</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4</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GoodsInfo</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货物信息</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1..n</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如一车货有不同货物，则可循环</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5</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WL0700002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DescriptionOfGoods</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货物名称</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an..512</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5</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WL0700085</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CargoTypeClassificationCode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货物类型分类代码</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an..3</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必填。详见代码集</w:t>
            </w:r>
            <w:r>
              <w:rPr>
                <w:rFonts w:ascii="Times New Roman" w:hAnsi="Times New Roman" w:cs="宋体" w:eastAsiaTheme="majorEastAsia"/>
                <w:kern w:val="0"/>
                <w:sz w:val="24"/>
                <w:szCs w:val="24"/>
              </w:rPr>
              <w:t>4.2.5</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5</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WL0600292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GoodsItemGrossWeight</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货物项毛重</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n..14,3</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必填。重量单位以</w:t>
            </w:r>
            <w:r>
              <w:rPr>
                <w:rFonts w:ascii="Times New Roman" w:hAnsi="Times New Roman" w:cs="宋体" w:eastAsiaTheme="majorEastAsia"/>
                <w:kern w:val="0"/>
                <w:sz w:val="24"/>
                <w:szCs w:val="24"/>
              </w:rPr>
              <w:t>KGM</w:t>
            </w:r>
            <w:r>
              <w:rPr>
                <w:rFonts w:hint="eastAsia" w:ascii="Times New Roman" w:hAnsi="Times New Roman" w:cs="宋体" w:eastAsiaTheme="majorEastAsia"/>
                <w:kern w:val="0"/>
                <w:sz w:val="24"/>
                <w:szCs w:val="24"/>
              </w:rPr>
              <w:t>千克填写数值，保留</w:t>
            </w:r>
            <w:r>
              <w:rPr>
                <w:rFonts w:ascii="Times New Roman" w:hAnsi="Times New Roman" w:cs="宋体" w:eastAsiaTheme="majorEastAsia"/>
                <w:kern w:val="0"/>
                <w:sz w:val="24"/>
                <w:szCs w:val="24"/>
              </w:rPr>
              <w:t>3</w:t>
            </w:r>
            <w:r>
              <w:rPr>
                <w:rFonts w:hint="eastAsia" w:ascii="Times New Roman" w:hAnsi="Times New Roman" w:cs="宋体" w:eastAsiaTheme="majorEastAsia"/>
                <w:kern w:val="0"/>
                <w:sz w:val="24"/>
                <w:szCs w:val="24"/>
              </w:rPr>
              <w:t>位小数，如整数的话，以</w:t>
            </w:r>
            <w:r>
              <w:rPr>
                <w:rFonts w:ascii="Times New Roman" w:hAnsi="Times New Roman" w:cs="宋体" w:eastAsiaTheme="majorEastAsia"/>
                <w:kern w:val="0"/>
                <w:sz w:val="24"/>
                <w:szCs w:val="24"/>
              </w:rPr>
              <w:t>.000</w:t>
            </w:r>
            <w:r>
              <w:rPr>
                <w:rFonts w:hint="eastAsia" w:ascii="Times New Roman" w:hAnsi="Times New Roman" w:cs="宋体" w:eastAsiaTheme="majorEastAsia"/>
                <w:kern w:val="0"/>
                <w:sz w:val="24"/>
                <w:szCs w:val="24"/>
              </w:rPr>
              <w:t>填充。小数点不计入总长。如是轻泡货等货物，请估算重量。如是一笔业务分几辆车运，需报送每辆车实际运输的货物重量。</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5</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WL0600322</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Cube</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体积</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n..9,4</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选填。体积单位以</w:t>
            </w:r>
            <w:r>
              <w:rPr>
                <w:rFonts w:ascii="Times New Roman" w:hAnsi="Times New Roman" w:cs="宋体" w:eastAsiaTheme="majorEastAsia"/>
                <w:kern w:val="0"/>
                <w:sz w:val="24"/>
                <w:szCs w:val="24"/>
              </w:rPr>
              <w:t>DMQ</w:t>
            </w:r>
            <w:r>
              <w:rPr>
                <w:rFonts w:hint="eastAsia" w:ascii="Times New Roman" w:hAnsi="Times New Roman" w:cs="宋体" w:eastAsiaTheme="majorEastAsia"/>
                <w:kern w:val="0"/>
                <w:sz w:val="24"/>
                <w:szCs w:val="24"/>
              </w:rPr>
              <w:t>立方米填写数值，保留</w:t>
            </w:r>
            <w:r>
              <w:rPr>
                <w:rFonts w:ascii="Times New Roman" w:hAnsi="Times New Roman" w:cs="宋体" w:eastAsiaTheme="majorEastAsia"/>
                <w:kern w:val="0"/>
                <w:sz w:val="24"/>
                <w:szCs w:val="24"/>
              </w:rPr>
              <w:t>4</w:t>
            </w:r>
            <w:r>
              <w:rPr>
                <w:rFonts w:hint="eastAsia" w:ascii="Times New Roman" w:hAnsi="Times New Roman" w:cs="宋体" w:eastAsiaTheme="majorEastAsia"/>
                <w:kern w:val="0"/>
                <w:sz w:val="24"/>
                <w:szCs w:val="24"/>
              </w:rPr>
              <w:t>位小数，如整数的话，以</w:t>
            </w:r>
            <w:r>
              <w:rPr>
                <w:rFonts w:ascii="Times New Roman" w:hAnsi="Times New Roman" w:cs="宋体" w:eastAsiaTheme="majorEastAsia"/>
                <w:kern w:val="0"/>
                <w:sz w:val="24"/>
                <w:szCs w:val="24"/>
              </w:rPr>
              <w:t>.0000</w:t>
            </w:r>
            <w:r>
              <w:rPr>
                <w:rFonts w:hint="eastAsia" w:ascii="Times New Roman" w:hAnsi="Times New Roman" w:cs="宋体" w:eastAsiaTheme="majorEastAsia"/>
                <w:kern w:val="0"/>
                <w:sz w:val="24"/>
                <w:szCs w:val="24"/>
              </w:rPr>
              <w:t>填充。小数点不计入总长。</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5</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WL0700370</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TotalNumberOfPackages</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总件数</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n..8</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w:t>
            </w:r>
          </w:p>
        </w:tc>
      </w:tr>
      <w:tr>
        <w:tblPrEx>
          <w:tblLayout w:type="fixed"/>
          <w:tblCellMar>
            <w:top w:w="0" w:type="dxa"/>
            <w:left w:w="108" w:type="dxa"/>
            <w:bottom w:w="0" w:type="dxa"/>
            <w:right w:w="108" w:type="dxa"/>
          </w:tblCellMar>
        </w:tblPrEx>
        <w:trPr>
          <w:trHeight w:val="454" w:hRule="atLeast"/>
          <w:tblHeader/>
        </w:trPr>
        <w:tc>
          <w:tcPr>
            <w:tcW w:w="817"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numPr>
                <w:ilvl w:val="0"/>
                <w:numId w:val="3"/>
              </w:numPr>
              <w:overflowPunct w:val="0"/>
              <w:snapToGrid w:val="0"/>
              <w:spacing w:line="360" w:lineRule="auto"/>
              <w:ind w:firstLine="0" w:firstLineChars="0"/>
              <w:jc w:val="center"/>
              <w:rPr>
                <w:rFonts w:ascii="Times New Roman" w:hAnsi="Times New Roman" w:cs="宋体" w:eastAsiaTheme="majorEastAsia"/>
                <w:kern w:val="0"/>
                <w:sz w:val="24"/>
                <w:szCs w:val="24"/>
              </w:rPr>
            </w:pPr>
          </w:p>
        </w:tc>
        <w:tc>
          <w:tcPr>
            <w:tcW w:w="993"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3</w:t>
            </w:r>
          </w:p>
        </w:tc>
        <w:tc>
          <w:tcPr>
            <w:tcW w:w="1561"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WL0400440</w:t>
            </w:r>
          </w:p>
        </w:tc>
        <w:tc>
          <w:tcPr>
            <w:tcW w:w="297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FreeText</w:t>
            </w:r>
          </w:p>
        </w:tc>
        <w:tc>
          <w:tcPr>
            <w:tcW w:w="170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自由文本</w:t>
            </w:r>
          </w:p>
        </w:tc>
        <w:tc>
          <w:tcPr>
            <w:tcW w:w="995"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99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an..512</w:t>
            </w:r>
          </w:p>
        </w:tc>
        <w:tc>
          <w:tcPr>
            <w:tcW w:w="1416"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277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选填。</w:t>
            </w:r>
          </w:p>
        </w:tc>
      </w:tr>
    </w:tbl>
    <w:p>
      <w:pPr>
        <w:overflowPunct w:val="0"/>
        <w:snapToGrid w:val="0"/>
        <w:spacing w:before="217" w:beforeLines="50" w:after="217" w:afterLines="50" w:line="360" w:lineRule="auto"/>
        <w:ind w:firstLine="0" w:firstLineChars="0"/>
        <w:rPr>
          <w:rFonts w:ascii="Times New Roman" w:hAnsi="Times New Roman"/>
          <w:b/>
        </w:rPr>
        <w:sectPr>
          <w:pgSz w:w="16838" w:h="11906" w:orient="landscape"/>
          <w:pgMar w:top="1701" w:right="1418" w:bottom="1418" w:left="1418" w:header="992" w:footer="992" w:gutter="0"/>
          <w:cols w:space="425" w:num="1"/>
          <w:docGrid w:type="linesAndChars" w:linePitch="435" w:charSpace="0"/>
        </w:sectPr>
      </w:pPr>
    </w:p>
    <w:p>
      <w:pPr>
        <w:pStyle w:val="3"/>
        <w:numPr>
          <w:ilvl w:val="0"/>
          <w:numId w:val="0"/>
        </w:numPr>
        <w:overflowPunct w:val="0"/>
        <w:snapToGrid w:val="0"/>
        <w:spacing w:before="156" w:after="156" w:line="360" w:lineRule="auto"/>
        <w:jc w:val="both"/>
        <w:rPr>
          <w:rFonts w:ascii="Times New Roman" w:hAnsi="Times New Roman" w:eastAsia="黑体"/>
          <w:b w:val="0"/>
        </w:rPr>
      </w:pPr>
      <w:bookmarkStart w:id="8" w:name="_Toc476581369"/>
      <w:r>
        <w:rPr>
          <w:rFonts w:ascii="Times New Roman" w:hAnsi="Times New Roman" w:eastAsia="黑体"/>
          <w:b w:val="0"/>
        </w:rPr>
        <w:t xml:space="preserve">4.2 </w:t>
      </w:r>
      <w:r>
        <w:rPr>
          <w:rFonts w:hint="eastAsia" w:ascii="Times New Roman" w:hAnsi="Times New Roman" w:eastAsia="黑体"/>
          <w:b w:val="0"/>
        </w:rPr>
        <w:t>代码集</w:t>
      </w:r>
      <w:bookmarkEnd w:id="8"/>
    </w:p>
    <w:p>
      <w:pPr>
        <w:pStyle w:val="4"/>
        <w:numPr>
          <w:ilvl w:val="0"/>
          <w:numId w:val="0"/>
        </w:numPr>
        <w:overflowPunct w:val="0"/>
        <w:snapToGrid w:val="0"/>
        <w:spacing w:before="156" w:beforeLines="50" w:after="156" w:afterLines="50" w:line="360" w:lineRule="auto"/>
        <w:jc w:val="both"/>
        <w:rPr>
          <w:rFonts w:eastAsia="黑体"/>
          <w:b w:val="0"/>
        </w:rPr>
      </w:pPr>
      <w:bookmarkStart w:id="9" w:name="_Toc476581370"/>
      <w:r>
        <w:rPr>
          <w:rFonts w:eastAsia="黑体"/>
          <w:b w:val="0"/>
        </w:rPr>
        <w:t xml:space="preserve">4.2.1 </w:t>
      </w:r>
      <w:r>
        <w:rPr>
          <w:rFonts w:hint="eastAsia" w:eastAsia="黑体"/>
          <w:b w:val="0"/>
        </w:rPr>
        <w:t>报文功能代码（分类编号</w:t>
      </w:r>
      <w:r>
        <w:rPr>
          <w:rFonts w:eastAsia="黑体"/>
          <w:b w:val="0"/>
        </w:rPr>
        <w:t>:WL0100225</w:t>
      </w:r>
      <w:r>
        <w:rPr>
          <w:rFonts w:hint="eastAsia" w:eastAsia="黑体"/>
          <w:b w:val="0"/>
        </w:rPr>
        <w:t>）</w:t>
      </w:r>
      <w:bookmarkEnd w:id="9"/>
    </w:p>
    <w:p>
      <w:pPr>
        <w:overflowPunct w:val="0"/>
        <w:snapToGrid w:val="0"/>
        <w:spacing w:line="360" w:lineRule="auto"/>
        <w:ind w:firstLine="640"/>
        <w:rPr>
          <w:rFonts w:ascii="Times New Roman" w:hAnsi="Times New Roman"/>
        </w:rPr>
      </w:pPr>
      <w:r>
        <w:rPr>
          <w:rFonts w:hint="eastAsia" w:ascii="Times New Roman" w:hAnsi="Times New Roman"/>
        </w:rPr>
        <w:t>定义：指示报文功能的代码。</w:t>
      </w:r>
    </w:p>
    <w:p>
      <w:pPr>
        <w:overflowPunct w:val="0"/>
        <w:snapToGrid w:val="0"/>
        <w:spacing w:line="360" w:lineRule="auto"/>
        <w:ind w:firstLine="640"/>
        <w:rPr>
          <w:rFonts w:ascii="Times New Roman" w:hAnsi="Times New Roman"/>
        </w:rPr>
      </w:pPr>
      <w:r>
        <w:rPr>
          <w:rFonts w:hint="eastAsia" w:ascii="Times New Roman" w:hAnsi="Times New Roman"/>
        </w:rPr>
        <w:t>参考标准：参考</w:t>
      </w:r>
      <w:r>
        <w:rPr>
          <w:rFonts w:ascii="Times New Roman" w:hAnsi="Times New Roman"/>
        </w:rPr>
        <w:t>GB/T 16833-2011</w:t>
      </w:r>
      <w:r>
        <w:rPr>
          <w:rFonts w:hint="eastAsia" w:ascii="Times New Roman" w:hAnsi="Times New Roman"/>
        </w:rPr>
        <w:t>的“</w:t>
      </w:r>
      <w:r>
        <w:rPr>
          <w:rFonts w:ascii="Times New Roman" w:hAnsi="Times New Roman"/>
        </w:rPr>
        <w:t xml:space="preserve">1225 </w:t>
      </w:r>
      <w:r>
        <w:rPr>
          <w:rFonts w:hint="eastAsia" w:ascii="Times New Roman" w:hAnsi="Times New Roman"/>
        </w:rPr>
        <w:t>报文功能代码”</w:t>
      </w:r>
    </w:p>
    <w:p>
      <w:pPr>
        <w:overflowPunct w:val="0"/>
        <w:snapToGrid w:val="0"/>
        <w:spacing w:line="360" w:lineRule="auto"/>
        <w:ind w:firstLine="640"/>
        <w:rPr>
          <w:rFonts w:ascii="Times New Roman" w:hAnsi="Times New Roman"/>
        </w:rPr>
      </w:pPr>
      <w:r>
        <w:rPr>
          <w:rFonts w:hint="eastAsia" w:ascii="Times New Roman" w:hAnsi="Times New Roman"/>
        </w:rPr>
        <w:t>代码值域：</w:t>
      </w:r>
    </w:p>
    <w:tbl>
      <w:tblPr>
        <w:tblStyle w:val="25"/>
        <w:tblW w:w="9003" w:type="dxa"/>
        <w:tblInd w:w="0" w:type="dxa"/>
        <w:tblLayout w:type="fixed"/>
        <w:tblCellMar>
          <w:top w:w="0" w:type="dxa"/>
          <w:left w:w="108" w:type="dxa"/>
          <w:bottom w:w="0" w:type="dxa"/>
          <w:right w:w="108" w:type="dxa"/>
        </w:tblCellMar>
      </w:tblPr>
      <w:tblGrid>
        <w:gridCol w:w="872"/>
        <w:gridCol w:w="1887"/>
        <w:gridCol w:w="3194"/>
        <w:gridCol w:w="3050"/>
      </w:tblGrid>
      <w:tr>
        <w:tblPrEx>
          <w:tblLayout w:type="fixed"/>
          <w:tblCellMar>
            <w:top w:w="0" w:type="dxa"/>
            <w:left w:w="108" w:type="dxa"/>
            <w:bottom w:w="0" w:type="dxa"/>
            <w:right w:w="108" w:type="dxa"/>
          </w:tblCellMar>
        </w:tblPrEx>
        <w:trPr>
          <w:trHeight w:val="270" w:hRule="atLeast"/>
        </w:trPr>
        <w:tc>
          <w:tcPr>
            <w:tcW w:w="872"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overflowPunct w:val="0"/>
              <w:snapToGrid w:val="0"/>
              <w:spacing w:line="360" w:lineRule="auto"/>
              <w:ind w:firstLine="0" w:firstLineChars="0"/>
              <w:jc w:val="center"/>
              <w:rPr>
                <w:rFonts w:ascii="Times New Roman" w:hAnsi="Times New Roman" w:cs="宋体" w:eastAsiaTheme="majorEastAsia"/>
                <w:b/>
                <w:kern w:val="0"/>
                <w:sz w:val="24"/>
                <w:szCs w:val="24"/>
              </w:rPr>
            </w:pPr>
            <w:r>
              <w:rPr>
                <w:rFonts w:hint="eastAsia" w:ascii="Times New Roman" w:hAnsi="Times New Roman" w:cs="宋体" w:eastAsiaTheme="majorEastAsia"/>
                <w:b/>
                <w:kern w:val="0"/>
                <w:sz w:val="24"/>
                <w:szCs w:val="24"/>
              </w:rPr>
              <w:t>代码</w:t>
            </w:r>
          </w:p>
        </w:tc>
        <w:tc>
          <w:tcPr>
            <w:tcW w:w="1887"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spacing w:line="360" w:lineRule="auto"/>
              <w:ind w:firstLine="0" w:firstLineChars="0"/>
              <w:jc w:val="center"/>
              <w:rPr>
                <w:rFonts w:ascii="Times New Roman" w:hAnsi="Times New Roman" w:cs="宋体" w:eastAsiaTheme="majorEastAsia"/>
                <w:b/>
                <w:kern w:val="0"/>
                <w:sz w:val="24"/>
                <w:szCs w:val="24"/>
              </w:rPr>
            </w:pPr>
            <w:r>
              <w:rPr>
                <w:rFonts w:hint="eastAsia" w:ascii="Times New Roman" w:hAnsi="Times New Roman" w:cs="宋体" w:eastAsiaTheme="majorEastAsia"/>
                <w:b/>
                <w:kern w:val="0"/>
                <w:sz w:val="24"/>
                <w:szCs w:val="24"/>
              </w:rPr>
              <w:t>名称</w:t>
            </w:r>
          </w:p>
        </w:tc>
        <w:tc>
          <w:tcPr>
            <w:tcW w:w="3194"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spacing w:line="360" w:lineRule="auto"/>
              <w:ind w:firstLine="0" w:firstLineChars="0"/>
              <w:jc w:val="center"/>
              <w:rPr>
                <w:rFonts w:ascii="Times New Roman" w:hAnsi="Times New Roman" w:cs="宋体" w:eastAsiaTheme="majorEastAsia"/>
                <w:b/>
                <w:kern w:val="0"/>
                <w:sz w:val="24"/>
                <w:szCs w:val="24"/>
              </w:rPr>
            </w:pPr>
            <w:r>
              <w:rPr>
                <w:rFonts w:hint="eastAsia" w:ascii="Times New Roman" w:hAnsi="Times New Roman" w:cs="宋体" w:eastAsiaTheme="majorEastAsia"/>
                <w:b/>
                <w:kern w:val="0"/>
                <w:sz w:val="24"/>
                <w:szCs w:val="24"/>
              </w:rPr>
              <w:t>英文名称</w:t>
            </w:r>
          </w:p>
        </w:tc>
        <w:tc>
          <w:tcPr>
            <w:tcW w:w="3050"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spacing w:line="360" w:lineRule="auto"/>
              <w:ind w:firstLine="0" w:firstLineChars="0"/>
              <w:jc w:val="center"/>
              <w:rPr>
                <w:rFonts w:ascii="Times New Roman" w:hAnsi="Times New Roman" w:cs="宋体" w:eastAsiaTheme="majorEastAsia"/>
                <w:b/>
                <w:kern w:val="0"/>
                <w:sz w:val="24"/>
                <w:szCs w:val="24"/>
              </w:rPr>
            </w:pPr>
            <w:r>
              <w:rPr>
                <w:rFonts w:hint="eastAsia" w:ascii="Times New Roman" w:hAnsi="Times New Roman" w:cs="宋体" w:eastAsiaTheme="majorEastAsia"/>
                <w:b/>
                <w:kern w:val="0"/>
                <w:sz w:val="24"/>
                <w:szCs w:val="24"/>
              </w:rPr>
              <w:t>描述</w:t>
            </w:r>
          </w:p>
        </w:tc>
      </w:tr>
      <w:tr>
        <w:tblPrEx>
          <w:tblLayout w:type="fixed"/>
          <w:tblCellMar>
            <w:top w:w="0" w:type="dxa"/>
            <w:left w:w="108" w:type="dxa"/>
            <w:bottom w:w="0" w:type="dxa"/>
            <w:right w:w="108" w:type="dxa"/>
          </w:tblCellMar>
        </w:tblPrEx>
        <w:trPr>
          <w:trHeight w:val="27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w:t>
            </w:r>
          </w:p>
        </w:tc>
        <w:tc>
          <w:tcPr>
            <w:tcW w:w="1887"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取消</w:t>
            </w:r>
            <w:r>
              <w:rPr>
                <w:rFonts w:ascii="Times New Roman" w:hAnsi="Times New Roman" w:cs="宋体" w:eastAsiaTheme="majorEastAsia"/>
                <w:kern w:val="0"/>
                <w:sz w:val="24"/>
                <w:szCs w:val="24"/>
              </w:rPr>
              <w:t>(</w:t>
            </w:r>
            <w:r>
              <w:rPr>
                <w:rFonts w:hint="eastAsia" w:ascii="Times New Roman" w:hAnsi="Times New Roman" w:cs="宋体" w:eastAsiaTheme="majorEastAsia"/>
                <w:kern w:val="0"/>
                <w:sz w:val="24"/>
                <w:szCs w:val="24"/>
              </w:rPr>
              <w:t>删除</w:t>
            </w:r>
            <w:r>
              <w:rPr>
                <w:rFonts w:ascii="Times New Roman" w:hAnsi="Times New Roman" w:cs="宋体" w:eastAsiaTheme="majorEastAsia"/>
                <w:kern w:val="0"/>
                <w:sz w:val="24"/>
                <w:szCs w:val="24"/>
              </w:rPr>
              <w:t>)</w:t>
            </w:r>
          </w:p>
        </w:tc>
        <w:tc>
          <w:tcPr>
            <w:tcW w:w="3194"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Cancellation</w:t>
            </w:r>
          </w:p>
        </w:tc>
        <w:tc>
          <w:tcPr>
            <w:tcW w:w="3050"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取消先前传输的报文</w:t>
            </w:r>
          </w:p>
        </w:tc>
      </w:tr>
      <w:tr>
        <w:tblPrEx>
          <w:tblLayout w:type="fixed"/>
          <w:tblCellMar>
            <w:top w:w="0" w:type="dxa"/>
            <w:left w:w="108" w:type="dxa"/>
            <w:bottom w:w="0" w:type="dxa"/>
            <w:right w:w="108" w:type="dxa"/>
          </w:tblCellMar>
        </w:tblPrEx>
        <w:trPr>
          <w:trHeight w:val="27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5</w:t>
            </w:r>
          </w:p>
        </w:tc>
        <w:tc>
          <w:tcPr>
            <w:tcW w:w="1887"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代替</w:t>
            </w:r>
            <w:r>
              <w:rPr>
                <w:rFonts w:ascii="Times New Roman" w:hAnsi="Times New Roman" w:cs="宋体" w:eastAsiaTheme="majorEastAsia"/>
                <w:kern w:val="0"/>
                <w:sz w:val="24"/>
                <w:szCs w:val="24"/>
              </w:rPr>
              <w:t>(</w:t>
            </w:r>
            <w:r>
              <w:rPr>
                <w:rFonts w:hint="eastAsia" w:ascii="Times New Roman" w:hAnsi="Times New Roman" w:cs="宋体" w:eastAsiaTheme="majorEastAsia"/>
                <w:kern w:val="0"/>
                <w:sz w:val="24"/>
                <w:szCs w:val="24"/>
              </w:rPr>
              <w:t>更新</w:t>
            </w:r>
            <w:r>
              <w:rPr>
                <w:rFonts w:ascii="Times New Roman" w:hAnsi="Times New Roman" w:cs="宋体" w:eastAsiaTheme="majorEastAsia"/>
                <w:kern w:val="0"/>
                <w:sz w:val="24"/>
                <w:szCs w:val="24"/>
              </w:rPr>
              <w:t>)</w:t>
            </w:r>
          </w:p>
        </w:tc>
        <w:tc>
          <w:tcPr>
            <w:tcW w:w="3194"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Replace</w:t>
            </w:r>
          </w:p>
        </w:tc>
        <w:tc>
          <w:tcPr>
            <w:tcW w:w="3050"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替代先前报文的报文</w:t>
            </w:r>
          </w:p>
        </w:tc>
      </w:tr>
      <w:tr>
        <w:tblPrEx>
          <w:tblLayout w:type="fixed"/>
          <w:tblCellMar>
            <w:top w:w="0" w:type="dxa"/>
            <w:left w:w="108" w:type="dxa"/>
            <w:bottom w:w="0" w:type="dxa"/>
            <w:right w:w="108" w:type="dxa"/>
          </w:tblCellMar>
        </w:tblPrEx>
        <w:trPr>
          <w:trHeight w:val="27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9</w:t>
            </w:r>
          </w:p>
        </w:tc>
        <w:tc>
          <w:tcPr>
            <w:tcW w:w="1887"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最初的</w:t>
            </w:r>
            <w:r>
              <w:rPr>
                <w:rFonts w:ascii="Times New Roman" w:hAnsi="Times New Roman" w:cs="宋体" w:eastAsiaTheme="majorEastAsia"/>
                <w:kern w:val="0"/>
                <w:sz w:val="24"/>
                <w:szCs w:val="24"/>
              </w:rPr>
              <w:t>(</w:t>
            </w:r>
            <w:r>
              <w:rPr>
                <w:rFonts w:hint="eastAsia" w:ascii="Times New Roman" w:hAnsi="Times New Roman" w:cs="宋体" w:eastAsiaTheme="majorEastAsia"/>
                <w:kern w:val="0"/>
                <w:sz w:val="24"/>
                <w:szCs w:val="24"/>
              </w:rPr>
              <w:t>新增</w:t>
            </w:r>
            <w:r>
              <w:rPr>
                <w:rFonts w:ascii="Times New Roman" w:hAnsi="Times New Roman" w:cs="宋体" w:eastAsiaTheme="majorEastAsia"/>
                <w:kern w:val="0"/>
                <w:sz w:val="24"/>
                <w:szCs w:val="24"/>
              </w:rPr>
              <w:t>)</w:t>
            </w:r>
          </w:p>
        </w:tc>
        <w:tc>
          <w:tcPr>
            <w:tcW w:w="3194"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Original</w:t>
            </w:r>
          </w:p>
        </w:tc>
        <w:tc>
          <w:tcPr>
            <w:tcW w:w="3050"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有关交易的最初传输</w:t>
            </w:r>
          </w:p>
        </w:tc>
      </w:tr>
    </w:tbl>
    <w:p>
      <w:pPr>
        <w:pStyle w:val="4"/>
        <w:numPr>
          <w:ilvl w:val="0"/>
          <w:numId w:val="0"/>
        </w:numPr>
        <w:overflowPunct w:val="0"/>
        <w:snapToGrid w:val="0"/>
        <w:spacing w:before="156" w:beforeLines="50" w:after="156" w:afterLines="50" w:line="360" w:lineRule="auto"/>
        <w:jc w:val="both"/>
        <w:rPr>
          <w:rFonts w:eastAsia="黑体"/>
          <w:b w:val="0"/>
        </w:rPr>
      </w:pPr>
      <w:bookmarkStart w:id="10" w:name="_Toc476581371"/>
      <w:r>
        <w:rPr>
          <w:rFonts w:eastAsia="黑体"/>
          <w:b w:val="0"/>
        </w:rPr>
        <w:t xml:space="preserve">4.2.2 </w:t>
      </w:r>
      <w:r>
        <w:rPr>
          <w:rFonts w:hint="eastAsia" w:eastAsia="黑体"/>
          <w:b w:val="0"/>
        </w:rPr>
        <w:t>业务类型代码（分类编号</w:t>
      </w:r>
      <w:r>
        <w:rPr>
          <w:rFonts w:eastAsia="黑体"/>
          <w:b w:val="0"/>
        </w:rPr>
        <w:t>: WL0800903</w:t>
      </w:r>
      <w:r>
        <w:rPr>
          <w:rFonts w:hint="eastAsia" w:eastAsia="黑体"/>
          <w:b w:val="0"/>
        </w:rPr>
        <w:t>）</w:t>
      </w:r>
      <w:bookmarkEnd w:id="10"/>
    </w:p>
    <w:p>
      <w:pPr>
        <w:overflowPunct w:val="0"/>
        <w:snapToGrid w:val="0"/>
        <w:spacing w:line="360" w:lineRule="auto"/>
        <w:ind w:firstLine="640"/>
        <w:rPr>
          <w:rFonts w:ascii="Times New Roman" w:hAnsi="Times New Roman"/>
        </w:rPr>
      </w:pPr>
      <w:r>
        <w:rPr>
          <w:rFonts w:hint="eastAsia" w:ascii="Times New Roman" w:hAnsi="Times New Roman"/>
        </w:rPr>
        <w:t>定义：标识业务类型的代码。</w:t>
      </w:r>
    </w:p>
    <w:p>
      <w:pPr>
        <w:overflowPunct w:val="0"/>
        <w:snapToGrid w:val="0"/>
        <w:spacing w:line="360" w:lineRule="auto"/>
        <w:ind w:firstLine="640"/>
        <w:rPr>
          <w:rFonts w:ascii="Times New Roman" w:hAnsi="Times New Roman"/>
        </w:rPr>
      </w:pPr>
      <w:r>
        <w:rPr>
          <w:rFonts w:hint="eastAsia" w:ascii="Times New Roman" w:hAnsi="Times New Roman"/>
        </w:rPr>
        <w:t>参考标准：参考</w:t>
      </w:r>
      <w:r>
        <w:rPr>
          <w:rFonts w:ascii="Times New Roman" w:hAnsi="Times New Roman"/>
        </w:rPr>
        <w:t>GB/T 26820</w:t>
      </w:r>
      <w:r>
        <w:rPr>
          <w:rFonts w:hint="eastAsia" w:ascii="Times New Roman" w:hAnsi="Times New Roman"/>
        </w:rPr>
        <w:t>的有关规定</w:t>
      </w:r>
    </w:p>
    <w:p>
      <w:pPr>
        <w:overflowPunct w:val="0"/>
        <w:snapToGrid w:val="0"/>
        <w:spacing w:line="360" w:lineRule="auto"/>
        <w:ind w:firstLine="640"/>
        <w:rPr>
          <w:rFonts w:ascii="Times New Roman" w:hAnsi="Times New Roman"/>
        </w:rPr>
      </w:pPr>
      <w:r>
        <w:rPr>
          <w:rFonts w:hint="eastAsia" w:ascii="Times New Roman" w:hAnsi="Times New Roman"/>
        </w:rPr>
        <w:t>代码值域：</w:t>
      </w:r>
    </w:p>
    <w:tbl>
      <w:tblPr>
        <w:tblStyle w:val="25"/>
        <w:tblW w:w="9003" w:type="dxa"/>
        <w:tblInd w:w="0" w:type="dxa"/>
        <w:tblLayout w:type="fixed"/>
        <w:tblCellMar>
          <w:top w:w="0" w:type="dxa"/>
          <w:left w:w="108" w:type="dxa"/>
          <w:bottom w:w="0" w:type="dxa"/>
          <w:right w:w="108" w:type="dxa"/>
        </w:tblCellMar>
      </w:tblPr>
      <w:tblGrid>
        <w:gridCol w:w="1056"/>
        <w:gridCol w:w="2028"/>
        <w:gridCol w:w="5919"/>
      </w:tblGrid>
      <w:tr>
        <w:tblPrEx>
          <w:tblLayout w:type="fixed"/>
          <w:tblCellMar>
            <w:top w:w="0" w:type="dxa"/>
            <w:left w:w="108" w:type="dxa"/>
            <w:bottom w:w="0" w:type="dxa"/>
            <w:right w:w="108" w:type="dxa"/>
          </w:tblCellMar>
        </w:tblPrEx>
        <w:trPr>
          <w:trHeight w:val="240" w:hRule="atLeast"/>
        </w:trPr>
        <w:tc>
          <w:tcPr>
            <w:tcW w:w="1056" w:type="dxa"/>
            <w:tcBorders>
              <w:top w:val="single" w:color="auto" w:sz="4" w:space="0"/>
              <w:left w:val="single" w:color="auto" w:sz="4" w:space="0"/>
              <w:bottom w:val="single" w:color="auto" w:sz="4" w:space="0"/>
              <w:right w:val="single" w:color="auto" w:sz="4" w:space="0"/>
            </w:tcBorders>
            <w:shd w:val="clear" w:color="auto" w:fill="EEECE1" w:themeFill="background2"/>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代码</w:t>
            </w:r>
          </w:p>
        </w:tc>
        <w:tc>
          <w:tcPr>
            <w:tcW w:w="2028" w:type="dxa"/>
            <w:tcBorders>
              <w:top w:val="single" w:color="auto" w:sz="4" w:space="0"/>
              <w:left w:val="nil"/>
              <w:bottom w:val="single" w:color="auto" w:sz="4" w:space="0"/>
              <w:right w:val="single" w:color="auto" w:sz="4" w:space="0"/>
            </w:tcBorders>
            <w:shd w:val="clear" w:color="auto" w:fill="EEECE1" w:themeFill="background2"/>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名称</w:t>
            </w:r>
          </w:p>
        </w:tc>
        <w:tc>
          <w:tcPr>
            <w:tcW w:w="5919" w:type="dxa"/>
            <w:tcBorders>
              <w:top w:val="single" w:color="auto" w:sz="4" w:space="0"/>
              <w:left w:val="nil"/>
              <w:bottom w:val="single" w:color="auto" w:sz="4" w:space="0"/>
              <w:right w:val="single" w:color="auto" w:sz="4" w:space="0"/>
            </w:tcBorders>
            <w:shd w:val="clear" w:color="auto" w:fill="EEECE1" w:themeFill="background2"/>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描述</w:t>
            </w:r>
          </w:p>
        </w:tc>
      </w:tr>
      <w:tr>
        <w:tblPrEx>
          <w:tblLayout w:type="fixed"/>
          <w:tblCellMar>
            <w:top w:w="0" w:type="dxa"/>
            <w:left w:w="108" w:type="dxa"/>
            <w:bottom w:w="0" w:type="dxa"/>
            <w:right w:w="108" w:type="dxa"/>
          </w:tblCellMar>
        </w:tblPrEx>
        <w:trPr>
          <w:trHeight w:val="240" w:hRule="atLeast"/>
        </w:trPr>
        <w:tc>
          <w:tcPr>
            <w:tcW w:w="1056"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1002996</w:t>
            </w:r>
          </w:p>
        </w:tc>
        <w:tc>
          <w:tcPr>
            <w:tcW w:w="2028" w:type="dxa"/>
            <w:tcBorders>
              <w:top w:val="single" w:color="auto" w:sz="4" w:space="0"/>
              <w:left w:val="nil"/>
              <w:bottom w:val="single" w:color="auto" w:sz="4" w:space="0"/>
              <w:right w:val="single" w:color="auto" w:sz="4" w:space="0"/>
            </w:tcBorders>
            <w:shd w:val="clear" w:color="000000" w:fill="FFFFFF" w:themeFill="background1"/>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干线普货运输</w:t>
            </w:r>
          </w:p>
        </w:tc>
        <w:tc>
          <w:tcPr>
            <w:tcW w:w="5919" w:type="dxa"/>
            <w:tcBorders>
              <w:top w:val="single" w:color="auto" w:sz="4" w:space="0"/>
              <w:left w:val="nil"/>
              <w:bottom w:val="single" w:color="auto" w:sz="4" w:space="0"/>
              <w:right w:val="single" w:color="auto" w:sz="4" w:space="0"/>
            </w:tcBorders>
            <w:shd w:val="clear" w:color="000000" w:fill="FFFFFF" w:themeFill="background1"/>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干线普货运输服务</w:t>
            </w:r>
          </w:p>
        </w:tc>
      </w:tr>
      <w:tr>
        <w:tblPrEx>
          <w:tblLayout w:type="fixed"/>
          <w:tblCellMar>
            <w:top w:w="0" w:type="dxa"/>
            <w:left w:w="108" w:type="dxa"/>
            <w:bottom w:w="0" w:type="dxa"/>
            <w:right w:w="108" w:type="dxa"/>
          </w:tblCellMar>
        </w:tblPrEx>
        <w:trPr>
          <w:trHeight w:val="240" w:hRule="atLeast"/>
        </w:trPr>
        <w:tc>
          <w:tcPr>
            <w:tcW w:w="1056" w:type="dxa"/>
            <w:tcBorders>
              <w:top w:val="single" w:color="auto" w:sz="4" w:space="0"/>
              <w:left w:val="single" w:color="auto" w:sz="4" w:space="0"/>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1003997</w:t>
            </w:r>
          </w:p>
        </w:tc>
        <w:tc>
          <w:tcPr>
            <w:tcW w:w="2028" w:type="dxa"/>
            <w:tcBorders>
              <w:top w:val="single" w:color="auto" w:sz="4" w:space="0"/>
              <w:left w:val="nil"/>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城市配送</w:t>
            </w:r>
          </w:p>
        </w:tc>
        <w:tc>
          <w:tcPr>
            <w:tcW w:w="5919" w:type="dxa"/>
            <w:tcBorders>
              <w:top w:val="single" w:color="auto" w:sz="4" w:space="0"/>
              <w:left w:val="nil"/>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在城市范围内进行配送</w:t>
            </w:r>
          </w:p>
        </w:tc>
      </w:tr>
      <w:tr>
        <w:tblPrEx>
          <w:tblLayout w:type="fixed"/>
          <w:tblCellMar>
            <w:top w:w="0" w:type="dxa"/>
            <w:left w:w="108" w:type="dxa"/>
            <w:bottom w:w="0" w:type="dxa"/>
            <w:right w:w="108" w:type="dxa"/>
          </w:tblCellMar>
        </w:tblPrEx>
        <w:trPr>
          <w:trHeight w:val="240" w:hRule="atLeast"/>
        </w:trPr>
        <w:tc>
          <w:tcPr>
            <w:tcW w:w="1056" w:type="dxa"/>
            <w:tcBorders>
              <w:top w:val="single" w:color="auto" w:sz="4" w:space="0"/>
              <w:left w:val="single" w:color="auto" w:sz="4" w:space="0"/>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1003998</w:t>
            </w:r>
          </w:p>
        </w:tc>
        <w:tc>
          <w:tcPr>
            <w:tcW w:w="2028" w:type="dxa"/>
            <w:tcBorders>
              <w:top w:val="single" w:color="auto" w:sz="4" w:space="0"/>
              <w:left w:val="nil"/>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农村配送</w:t>
            </w:r>
          </w:p>
        </w:tc>
        <w:tc>
          <w:tcPr>
            <w:tcW w:w="5919" w:type="dxa"/>
            <w:tcBorders>
              <w:top w:val="single" w:color="auto" w:sz="4" w:space="0"/>
              <w:left w:val="nil"/>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若发货方或收货方在农村地区即为农村物流</w:t>
            </w:r>
          </w:p>
        </w:tc>
      </w:tr>
      <w:tr>
        <w:tblPrEx>
          <w:tblLayout w:type="fixed"/>
          <w:tblCellMar>
            <w:top w:w="0" w:type="dxa"/>
            <w:left w:w="108" w:type="dxa"/>
            <w:bottom w:w="0" w:type="dxa"/>
            <w:right w:w="108" w:type="dxa"/>
          </w:tblCellMar>
        </w:tblPrEx>
        <w:trPr>
          <w:trHeight w:val="240" w:hRule="atLeast"/>
        </w:trPr>
        <w:tc>
          <w:tcPr>
            <w:tcW w:w="1056" w:type="dxa"/>
            <w:tcBorders>
              <w:top w:val="single" w:color="auto" w:sz="4" w:space="0"/>
              <w:left w:val="single" w:color="auto" w:sz="4" w:space="0"/>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1002998</w:t>
            </w:r>
          </w:p>
        </w:tc>
        <w:tc>
          <w:tcPr>
            <w:tcW w:w="2028" w:type="dxa"/>
            <w:tcBorders>
              <w:top w:val="single" w:color="auto" w:sz="4" w:space="0"/>
              <w:left w:val="nil"/>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集装箱运输</w:t>
            </w:r>
          </w:p>
        </w:tc>
        <w:tc>
          <w:tcPr>
            <w:tcW w:w="5919" w:type="dxa"/>
            <w:tcBorders>
              <w:top w:val="single" w:color="auto" w:sz="4" w:space="0"/>
              <w:left w:val="nil"/>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集装箱运输</w:t>
            </w:r>
          </w:p>
        </w:tc>
      </w:tr>
      <w:tr>
        <w:tblPrEx>
          <w:tblLayout w:type="fixed"/>
          <w:tblCellMar>
            <w:top w:w="0" w:type="dxa"/>
            <w:left w:w="108" w:type="dxa"/>
            <w:bottom w:w="0" w:type="dxa"/>
            <w:right w:w="108" w:type="dxa"/>
          </w:tblCellMar>
        </w:tblPrEx>
        <w:trPr>
          <w:trHeight w:val="240" w:hRule="atLeast"/>
        </w:trPr>
        <w:tc>
          <w:tcPr>
            <w:tcW w:w="1056" w:type="dxa"/>
            <w:tcBorders>
              <w:top w:val="single" w:color="auto" w:sz="4" w:space="0"/>
              <w:left w:val="single" w:color="auto" w:sz="4" w:space="0"/>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1003999</w:t>
            </w:r>
          </w:p>
        </w:tc>
        <w:tc>
          <w:tcPr>
            <w:tcW w:w="2028" w:type="dxa"/>
            <w:tcBorders>
              <w:top w:val="single" w:color="auto" w:sz="4" w:space="0"/>
              <w:left w:val="nil"/>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其他</w:t>
            </w:r>
          </w:p>
        </w:tc>
        <w:tc>
          <w:tcPr>
            <w:tcW w:w="5919" w:type="dxa"/>
            <w:tcBorders>
              <w:top w:val="single" w:color="auto" w:sz="4" w:space="0"/>
              <w:left w:val="nil"/>
              <w:bottom w:val="single" w:color="auto" w:sz="4" w:space="0"/>
              <w:right w:val="single" w:color="auto" w:sz="4" w:space="0"/>
            </w:tcBorders>
            <w:shd w:val="clear" w:color="000000" w:fill="FFFFFF" w:themeFill="background1"/>
            <w:vAlign w:val="bottom"/>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其他</w:t>
            </w:r>
          </w:p>
        </w:tc>
      </w:tr>
    </w:tbl>
    <w:p>
      <w:pPr>
        <w:pStyle w:val="4"/>
        <w:numPr>
          <w:ilvl w:val="0"/>
          <w:numId w:val="0"/>
        </w:numPr>
        <w:overflowPunct w:val="0"/>
        <w:snapToGrid w:val="0"/>
        <w:spacing w:before="156" w:beforeLines="50" w:after="156" w:afterLines="50" w:line="360" w:lineRule="auto"/>
        <w:jc w:val="both"/>
        <w:rPr>
          <w:rFonts w:eastAsia="黑体"/>
          <w:b w:val="0"/>
        </w:rPr>
      </w:pPr>
      <w:bookmarkStart w:id="11" w:name="_Toc476581372"/>
      <w:r>
        <w:rPr>
          <w:rFonts w:eastAsia="黑体"/>
          <w:b w:val="0"/>
        </w:rPr>
        <w:t xml:space="preserve">4.2.3 </w:t>
      </w:r>
      <w:r>
        <w:rPr>
          <w:rFonts w:hint="eastAsia" w:eastAsia="黑体"/>
          <w:b w:val="0"/>
        </w:rPr>
        <w:t>牌照类型代码（分类编号</w:t>
      </w:r>
      <w:r>
        <w:rPr>
          <w:rFonts w:eastAsia="黑体"/>
          <w:b w:val="0"/>
        </w:rPr>
        <w:t>: WL0800819</w:t>
      </w:r>
      <w:r>
        <w:rPr>
          <w:rFonts w:hint="eastAsia" w:eastAsia="黑体"/>
          <w:b w:val="0"/>
        </w:rPr>
        <w:t>）</w:t>
      </w:r>
      <w:bookmarkEnd w:id="11"/>
    </w:p>
    <w:p>
      <w:pPr>
        <w:overflowPunct w:val="0"/>
        <w:snapToGrid w:val="0"/>
        <w:spacing w:line="360" w:lineRule="auto"/>
        <w:ind w:firstLine="640"/>
        <w:rPr>
          <w:rFonts w:ascii="Times New Roman" w:hAnsi="Times New Roman"/>
        </w:rPr>
      </w:pPr>
      <w:r>
        <w:rPr>
          <w:rFonts w:hint="eastAsia" w:ascii="Times New Roman" w:hAnsi="Times New Roman"/>
        </w:rPr>
        <w:t>定义：由公安车管部门核发的机动车号牌种类代码。</w:t>
      </w:r>
    </w:p>
    <w:p>
      <w:pPr>
        <w:overflowPunct w:val="0"/>
        <w:snapToGrid w:val="0"/>
        <w:spacing w:line="360" w:lineRule="auto"/>
        <w:ind w:firstLine="640"/>
        <w:rPr>
          <w:rFonts w:ascii="Times New Roman" w:hAnsi="Times New Roman"/>
        </w:rPr>
      </w:pPr>
      <w:r>
        <w:rPr>
          <w:rFonts w:hint="eastAsia" w:ascii="Times New Roman" w:hAnsi="Times New Roman"/>
        </w:rPr>
        <w:t>参考标准：参考</w:t>
      </w:r>
      <w:r>
        <w:rPr>
          <w:rFonts w:ascii="Times New Roman" w:hAnsi="Times New Roman"/>
        </w:rPr>
        <w:t>GA 24.7</w:t>
      </w:r>
      <w:r>
        <w:rPr>
          <w:rFonts w:hint="eastAsia" w:ascii="Times New Roman" w:hAnsi="Times New Roman"/>
        </w:rPr>
        <w:t>中的相关规定</w:t>
      </w:r>
    </w:p>
    <w:p>
      <w:pPr>
        <w:overflowPunct w:val="0"/>
        <w:snapToGrid w:val="0"/>
        <w:spacing w:line="360" w:lineRule="auto"/>
        <w:ind w:firstLine="640"/>
        <w:rPr>
          <w:rFonts w:ascii="Times New Roman" w:hAnsi="Times New Roman"/>
        </w:rPr>
      </w:pPr>
      <w:r>
        <w:rPr>
          <w:rFonts w:hint="eastAsia" w:ascii="Times New Roman" w:hAnsi="Times New Roman"/>
        </w:rPr>
        <w:t>代码值域：</w:t>
      </w:r>
    </w:p>
    <w:tbl>
      <w:tblPr>
        <w:tblStyle w:val="25"/>
        <w:tblW w:w="9003" w:type="dxa"/>
        <w:tblInd w:w="0" w:type="dxa"/>
        <w:tblLayout w:type="fixed"/>
        <w:tblCellMar>
          <w:top w:w="0" w:type="dxa"/>
          <w:left w:w="108" w:type="dxa"/>
          <w:bottom w:w="0" w:type="dxa"/>
          <w:right w:w="108" w:type="dxa"/>
        </w:tblCellMar>
      </w:tblPr>
      <w:tblGrid>
        <w:gridCol w:w="929"/>
        <w:gridCol w:w="2472"/>
        <w:gridCol w:w="5602"/>
      </w:tblGrid>
      <w:tr>
        <w:tblPrEx>
          <w:tblLayout w:type="fixed"/>
          <w:tblCellMar>
            <w:top w:w="0" w:type="dxa"/>
            <w:left w:w="108" w:type="dxa"/>
            <w:bottom w:w="0" w:type="dxa"/>
            <w:right w:w="108" w:type="dxa"/>
          </w:tblCellMar>
        </w:tblPrEx>
        <w:trPr>
          <w:trHeight w:val="270" w:hRule="atLeast"/>
        </w:trPr>
        <w:tc>
          <w:tcPr>
            <w:tcW w:w="929" w:type="dxa"/>
            <w:tcBorders>
              <w:top w:val="single" w:color="auto" w:sz="4" w:space="0"/>
              <w:left w:val="single" w:color="auto" w:sz="4" w:space="0"/>
              <w:bottom w:val="single" w:color="auto" w:sz="4" w:space="0"/>
              <w:right w:val="single" w:color="auto" w:sz="4" w:space="0"/>
            </w:tcBorders>
            <w:shd w:val="clear" w:color="auto" w:fill="EEECE1" w:themeFill="background2"/>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代码</w:t>
            </w:r>
          </w:p>
        </w:tc>
        <w:tc>
          <w:tcPr>
            <w:tcW w:w="247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名称</w:t>
            </w:r>
          </w:p>
        </w:tc>
        <w:tc>
          <w:tcPr>
            <w:tcW w:w="5602" w:type="dxa"/>
            <w:tcBorders>
              <w:top w:val="single" w:color="auto" w:sz="4" w:space="0"/>
              <w:left w:val="nil"/>
              <w:bottom w:val="single" w:color="auto" w:sz="4" w:space="0"/>
              <w:right w:val="single" w:color="auto" w:sz="4" w:space="0"/>
            </w:tcBorders>
            <w:shd w:val="clear" w:color="auto" w:fill="EEECE1" w:themeFill="background2"/>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描述</w:t>
            </w:r>
          </w:p>
        </w:tc>
      </w:tr>
      <w:tr>
        <w:tblPrEx>
          <w:tblLayout w:type="fixed"/>
          <w:tblCellMar>
            <w:top w:w="0" w:type="dxa"/>
            <w:left w:w="108" w:type="dxa"/>
            <w:bottom w:w="0" w:type="dxa"/>
            <w:right w:w="108" w:type="dxa"/>
          </w:tblCellMar>
        </w:tblPrEx>
        <w:trPr>
          <w:trHeight w:val="270" w:hRule="atLeast"/>
        </w:trPr>
        <w:tc>
          <w:tcPr>
            <w:tcW w:w="929"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01</w:t>
            </w:r>
          </w:p>
        </w:tc>
        <w:tc>
          <w:tcPr>
            <w:tcW w:w="2472"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大型汽车号牌</w:t>
            </w:r>
          </w:p>
        </w:tc>
        <w:tc>
          <w:tcPr>
            <w:tcW w:w="5602"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黄底黑字</w:t>
            </w:r>
            <w:r>
              <w:rPr>
                <w:rFonts w:ascii="Times New Roman" w:hAnsi="Times New Roman" w:cs="宋体" w:eastAsiaTheme="majorEastAsia"/>
                <w:kern w:val="0"/>
                <w:sz w:val="24"/>
                <w:szCs w:val="24"/>
              </w:rPr>
              <w:t>(</w:t>
            </w:r>
            <w:r>
              <w:rPr>
                <w:rFonts w:hint="eastAsia" w:ascii="Times New Roman" w:hAnsi="Times New Roman" w:cs="宋体" w:eastAsiaTheme="majorEastAsia"/>
                <w:kern w:val="0"/>
                <w:sz w:val="24"/>
                <w:szCs w:val="24"/>
              </w:rPr>
              <w:t>含</w:t>
            </w:r>
            <w:r>
              <w:rPr>
                <w:rFonts w:ascii="Times New Roman" w:hAnsi="Times New Roman" w:cs="宋体" w:eastAsiaTheme="majorEastAsia"/>
                <w:kern w:val="0"/>
                <w:sz w:val="24"/>
                <w:szCs w:val="24"/>
              </w:rPr>
              <w:t>02</w:t>
            </w:r>
            <w:r>
              <w:rPr>
                <w:rFonts w:hint="eastAsia" w:ascii="Times New Roman" w:hAnsi="Times New Roman" w:cs="宋体" w:eastAsiaTheme="majorEastAsia"/>
                <w:kern w:val="0"/>
                <w:sz w:val="24"/>
                <w:szCs w:val="24"/>
              </w:rPr>
              <w:t>式号牌部分</w:t>
            </w:r>
            <w:r>
              <w:rPr>
                <w:rFonts w:ascii="Times New Roman" w:hAnsi="Times New Roman" w:cs="宋体" w:eastAsiaTheme="majorEastAsia"/>
                <w:kern w:val="0"/>
                <w:sz w:val="24"/>
                <w:szCs w:val="24"/>
              </w:rPr>
              <w:t>)</w:t>
            </w:r>
          </w:p>
        </w:tc>
      </w:tr>
      <w:tr>
        <w:tblPrEx>
          <w:tblLayout w:type="fixed"/>
          <w:tblCellMar>
            <w:top w:w="0" w:type="dxa"/>
            <w:left w:w="108" w:type="dxa"/>
            <w:bottom w:w="0" w:type="dxa"/>
            <w:right w:w="108" w:type="dxa"/>
          </w:tblCellMar>
        </w:tblPrEx>
        <w:trPr>
          <w:trHeight w:val="270" w:hRule="atLeast"/>
        </w:trPr>
        <w:tc>
          <w:tcPr>
            <w:tcW w:w="929"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02</w:t>
            </w:r>
          </w:p>
        </w:tc>
        <w:tc>
          <w:tcPr>
            <w:tcW w:w="2472"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小型汽车号牌</w:t>
            </w:r>
          </w:p>
        </w:tc>
        <w:tc>
          <w:tcPr>
            <w:tcW w:w="5602"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蓝底白字</w:t>
            </w:r>
            <w:r>
              <w:rPr>
                <w:rFonts w:ascii="Times New Roman" w:hAnsi="Times New Roman" w:cs="宋体" w:eastAsiaTheme="majorEastAsia"/>
                <w:kern w:val="0"/>
                <w:sz w:val="24"/>
                <w:szCs w:val="24"/>
              </w:rPr>
              <w:t>(</w:t>
            </w:r>
            <w:r>
              <w:rPr>
                <w:rFonts w:hint="eastAsia" w:ascii="Times New Roman" w:hAnsi="Times New Roman" w:cs="宋体" w:eastAsiaTheme="majorEastAsia"/>
                <w:kern w:val="0"/>
                <w:sz w:val="24"/>
                <w:szCs w:val="24"/>
              </w:rPr>
              <w:t>含</w:t>
            </w:r>
            <w:r>
              <w:rPr>
                <w:rFonts w:ascii="Times New Roman" w:hAnsi="Times New Roman" w:cs="宋体" w:eastAsiaTheme="majorEastAsia"/>
                <w:kern w:val="0"/>
                <w:sz w:val="24"/>
                <w:szCs w:val="24"/>
              </w:rPr>
              <w:t>02</w:t>
            </w:r>
            <w:r>
              <w:rPr>
                <w:rFonts w:hint="eastAsia" w:ascii="Times New Roman" w:hAnsi="Times New Roman" w:cs="宋体" w:eastAsiaTheme="majorEastAsia"/>
                <w:kern w:val="0"/>
                <w:sz w:val="24"/>
                <w:szCs w:val="24"/>
              </w:rPr>
              <w:t>式号牌部分</w:t>
            </w:r>
            <w:r>
              <w:rPr>
                <w:rFonts w:ascii="Times New Roman" w:hAnsi="Times New Roman" w:cs="宋体" w:eastAsiaTheme="majorEastAsia"/>
                <w:kern w:val="0"/>
                <w:sz w:val="24"/>
                <w:szCs w:val="24"/>
              </w:rPr>
              <w:t>)</w:t>
            </w:r>
          </w:p>
        </w:tc>
      </w:tr>
      <w:tr>
        <w:tblPrEx>
          <w:tblLayout w:type="fixed"/>
          <w:tblCellMar>
            <w:top w:w="0" w:type="dxa"/>
            <w:left w:w="108" w:type="dxa"/>
            <w:bottom w:w="0" w:type="dxa"/>
            <w:right w:w="108" w:type="dxa"/>
          </w:tblCellMar>
        </w:tblPrEx>
        <w:trPr>
          <w:trHeight w:val="270" w:hRule="atLeast"/>
        </w:trPr>
        <w:tc>
          <w:tcPr>
            <w:tcW w:w="929"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99</w:t>
            </w:r>
          </w:p>
        </w:tc>
        <w:tc>
          <w:tcPr>
            <w:tcW w:w="2472"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其他号牌</w:t>
            </w:r>
          </w:p>
        </w:tc>
        <w:tc>
          <w:tcPr>
            <w:tcW w:w="5602" w:type="dxa"/>
            <w:tcBorders>
              <w:top w:val="nil"/>
              <w:left w:val="nil"/>
              <w:bottom w:val="single" w:color="auto" w:sz="4" w:space="0"/>
              <w:right w:val="single" w:color="auto" w:sz="4" w:space="0"/>
            </w:tcBorders>
            <w:shd w:val="clear" w:color="auto" w:fill="auto"/>
            <w:vAlign w:val="center"/>
          </w:tcPr>
          <w:p>
            <w:pPr>
              <w:widowControl/>
              <w:overflowPunct w:val="0"/>
              <w:snapToGrid w:val="0"/>
              <w:spacing w:line="360" w:lineRule="auto"/>
              <w:ind w:firstLine="0" w:firstLineChars="0"/>
              <w:jc w:val="center"/>
              <w:rPr>
                <w:rFonts w:ascii="Times New Roman" w:hAnsi="Times New Roman" w:cs="宋体" w:eastAsiaTheme="majorEastAsia"/>
                <w:kern w:val="0"/>
                <w:sz w:val="24"/>
                <w:szCs w:val="24"/>
              </w:rPr>
            </w:pPr>
          </w:p>
        </w:tc>
      </w:tr>
    </w:tbl>
    <w:p>
      <w:pPr>
        <w:pStyle w:val="4"/>
        <w:numPr>
          <w:ilvl w:val="0"/>
          <w:numId w:val="0"/>
        </w:numPr>
        <w:overflowPunct w:val="0"/>
        <w:snapToGrid w:val="0"/>
        <w:spacing w:before="156" w:beforeLines="50" w:after="156" w:afterLines="50" w:line="360" w:lineRule="auto"/>
        <w:jc w:val="both"/>
        <w:rPr>
          <w:rFonts w:eastAsia="黑体"/>
          <w:b w:val="0"/>
        </w:rPr>
      </w:pPr>
      <w:bookmarkStart w:id="12" w:name="_Toc476581373"/>
      <w:r>
        <w:rPr>
          <w:rFonts w:eastAsia="黑体"/>
          <w:b w:val="0"/>
        </w:rPr>
        <w:t xml:space="preserve">4.2.4 </w:t>
      </w:r>
      <w:r>
        <w:rPr>
          <w:rFonts w:hint="eastAsia" w:eastAsia="黑体"/>
          <w:b w:val="0"/>
        </w:rPr>
        <w:t>营运车辆分类代码</w:t>
      </w:r>
      <w:bookmarkEnd w:id="12"/>
    </w:p>
    <w:p>
      <w:pPr>
        <w:overflowPunct w:val="0"/>
        <w:snapToGrid w:val="0"/>
        <w:spacing w:line="360" w:lineRule="auto"/>
        <w:ind w:firstLine="640"/>
        <w:rPr>
          <w:rFonts w:ascii="Times New Roman" w:hAnsi="Times New Roman"/>
          <w:kern w:val="0"/>
        </w:rPr>
      </w:pPr>
      <w:r>
        <w:rPr>
          <w:rFonts w:hint="eastAsia" w:ascii="Times New Roman" w:hAnsi="Times New Roman"/>
          <w:kern w:val="0"/>
        </w:rPr>
        <w:t>定义：用于标识道路运输车辆分类的代码。</w:t>
      </w:r>
    </w:p>
    <w:p>
      <w:pPr>
        <w:overflowPunct w:val="0"/>
        <w:snapToGrid w:val="0"/>
        <w:spacing w:line="360" w:lineRule="auto"/>
        <w:ind w:firstLine="640"/>
        <w:rPr>
          <w:rFonts w:ascii="Times New Roman" w:hAnsi="Times New Roman"/>
          <w:kern w:val="0"/>
        </w:rPr>
      </w:pPr>
      <w:r>
        <w:rPr>
          <w:rFonts w:hint="eastAsia" w:ascii="Times New Roman" w:hAnsi="Times New Roman"/>
          <w:kern w:val="0"/>
        </w:rPr>
        <w:t>代码值域：</w:t>
      </w:r>
    </w:p>
    <w:tbl>
      <w:tblPr>
        <w:tblStyle w:val="25"/>
        <w:tblpPr w:leftFromText="180" w:rightFromText="180" w:vertAnchor="text" w:tblpY="1"/>
        <w:tblOverlap w:val="never"/>
        <w:tblW w:w="9003" w:type="dxa"/>
        <w:tblInd w:w="0" w:type="dxa"/>
        <w:tblLayout w:type="fixed"/>
        <w:tblCellMar>
          <w:top w:w="0" w:type="dxa"/>
          <w:left w:w="108" w:type="dxa"/>
          <w:bottom w:w="0" w:type="dxa"/>
          <w:right w:w="108" w:type="dxa"/>
        </w:tblCellMar>
      </w:tblPr>
      <w:tblGrid>
        <w:gridCol w:w="1552"/>
        <w:gridCol w:w="7451"/>
      </w:tblGrid>
      <w:tr>
        <w:tblPrEx>
          <w:tblLayout w:type="fixed"/>
          <w:tblCellMar>
            <w:top w:w="0" w:type="dxa"/>
            <w:left w:w="108" w:type="dxa"/>
            <w:bottom w:w="0" w:type="dxa"/>
            <w:right w:w="108" w:type="dxa"/>
          </w:tblCellMar>
        </w:tblPrEx>
        <w:trPr>
          <w:trHeight w:val="397" w:hRule="atLeast"/>
        </w:trPr>
        <w:tc>
          <w:tcPr>
            <w:tcW w:w="1552" w:type="dxa"/>
            <w:tcBorders>
              <w:top w:val="single" w:color="auto" w:sz="4" w:space="0"/>
              <w:left w:val="single" w:color="auto" w:sz="4" w:space="0"/>
              <w:bottom w:val="single" w:color="auto" w:sz="4" w:space="0"/>
              <w:right w:val="single" w:color="auto" w:sz="4" w:space="0"/>
            </w:tcBorders>
            <w:shd w:val="clear" w:color="auto" w:fill="EEECE1" w:themeFill="background2"/>
            <w:vAlign w:val="bottom"/>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代码</w:t>
            </w:r>
          </w:p>
        </w:tc>
        <w:tc>
          <w:tcPr>
            <w:tcW w:w="7451" w:type="dxa"/>
            <w:tcBorders>
              <w:top w:val="single" w:color="auto" w:sz="4" w:space="0"/>
              <w:left w:val="nil"/>
              <w:bottom w:val="single" w:color="auto" w:sz="4" w:space="0"/>
              <w:right w:val="single" w:color="auto" w:sz="4" w:space="0"/>
            </w:tcBorders>
            <w:shd w:val="clear" w:color="auto" w:fill="EEECE1" w:themeFill="background2"/>
            <w:vAlign w:val="bottom"/>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名称</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H01</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普通货车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H02</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厢式货车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H04</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罐式货车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Q00</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牵引车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G01</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普通挂车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G03</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罐式挂车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G05</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集装箱挂车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H09</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仓栅式货车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H03</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封闭货车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H05</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平板货车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H06</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集装箱车</w:t>
            </w:r>
          </w:p>
        </w:tc>
      </w:tr>
      <w:tr>
        <w:tblPrEx>
          <w:tblLayout w:type="fixed"/>
          <w:tblCellMar>
            <w:top w:w="0" w:type="dxa"/>
            <w:left w:w="108" w:type="dxa"/>
            <w:bottom w:w="0" w:type="dxa"/>
            <w:right w:w="108" w:type="dxa"/>
          </w:tblCellMar>
        </w:tblPrEx>
        <w:trPr>
          <w:trHeight w:val="397" w:hRule="atLeast"/>
        </w:trPr>
        <w:tc>
          <w:tcPr>
            <w:tcW w:w="1552" w:type="dxa"/>
            <w:tcBorders>
              <w:top w:val="nil"/>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H07</w:t>
            </w:r>
          </w:p>
        </w:tc>
        <w:tc>
          <w:tcPr>
            <w:tcW w:w="7451" w:type="dxa"/>
            <w:tcBorders>
              <w:top w:val="nil"/>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自卸货车</w:t>
            </w:r>
          </w:p>
        </w:tc>
      </w:tr>
      <w:tr>
        <w:tblPrEx>
          <w:tblLayout w:type="fixed"/>
          <w:tblCellMar>
            <w:top w:w="0" w:type="dxa"/>
            <w:left w:w="108" w:type="dxa"/>
            <w:bottom w:w="0" w:type="dxa"/>
            <w:right w:w="108" w:type="dxa"/>
          </w:tblCellMar>
        </w:tblPrEx>
        <w:trPr>
          <w:trHeight w:val="397" w:hRule="atLeast"/>
        </w:trPr>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H08</w:t>
            </w:r>
          </w:p>
        </w:tc>
        <w:tc>
          <w:tcPr>
            <w:tcW w:w="7451" w:type="dxa"/>
            <w:tcBorders>
              <w:top w:val="single" w:color="auto" w:sz="4" w:space="0"/>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特殊结构货车</w:t>
            </w:r>
          </w:p>
        </w:tc>
      </w:tr>
      <w:tr>
        <w:tblPrEx>
          <w:tblLayout w:type="fixed"/>
          <w:tblCellMar>
            <w:top w:w="0" w:type="dxa"/>
            <w:left w:w="108" w:type="dxa"/>
            <w:bottom w:w="0" w:type="dxa"/>
            <w:right w:w="108" w:type="dxa"/>
          </w:tblCellMar>
        </w:tblPrEx>
        <w:trPr>
          <w:trHeight w:val="397" w:hRule="atLeast"/>
        </w:trPr>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Z00</w:t>
            </w:r>
          </w:p>
        </w:tc>
        <w:tc>
          <w:tcPr>
            <w:tcW w:w="7451" w:type="dxa"/>
            <w:tcBorders>
              <w:top w:val="single" w:color="auto" w:sz="4" w:space="0"/>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专项作业车</w:t>
            </w:r>
          </w:p>
        </w:tc>
      </w:tr>
      <w:tr>
        <w:tblPrEx>
          <w:tblLayout w:type="fixed"/>
          <w:tblCellMar>
            <w:top w:w="0" w:type="dxa"/>
            <w:left w:w="108" w:type="dxa"/>
            <w:bottom w:w="0" w:type="dxa"/>
            <w:right w:w="108" w:type="dxa"/>
          </w:tblCellMar>
        </w:tblPrEx>
        <w:trPr>
          <w:trHeight w:val="397" w:hRule="atLeast"/>
        </w:trPr>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G02</w:t>
            </w:r>
          </w:p>
        </w:tc>
        <w:tc>
          <w:tcPr>
            <w:tcW w:w="7451" w:type="dxa"/>
            <w:tcBorders>
              <w:top w:val="single" w:color="auto" w:sz="4" w:space="0"/>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厢式挂车</w:t>
            </w:r>
          </w:p>
        </w:tc>
      </w:tr>
      <w:tr>
        <w:tblPrEx>
          <w:tblLayout w:type="fixed"/>
          <w:tblCellMar>
            <w:top w:w="0" w:type="dxa"/>
            <w:left w:w="108" w:type="dxa"/>
            <w:bottom w:w="0" w:type="dxa"/>
            <w:right w:w="108" w:type="dxa"/>
          </w:tblCellMar>
        </w:tblPrEx>
        <w:trPr>
          <w:trHeight w:val="397" w:hRule="atLeast"/>
        </w:trPr>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G07</w:t>
            </w:r>
          </w:p>
        </w:tc>
        <w:tc>
          <w:tcPr>
            <w:tcW w:w="7451" w:type="dxa"/>
            <w:tcBorders>
              <w:top w:val="single" w:color="auto" w:sz="4" w:space="0"/>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仓栅式挂车</w:t>
            </w:r>
          </w:p>
        </w:tc>
      </w:tr>
      <w:tr>
        <w:tblPrEx>
          <w:tblLayout w:type="fixed"/>
          <w:tblCellMar>
            <w:top w:w="0" w:type="dxa"/>
            <w:left w:w="108" w:type="dxa"/>
            <w:bottom w:w="0" w:type="dxa"/>
            <w:right w:w="108" w:type="dxa"/>
          </w:tblCellMar>
        </w:tblPrEx>
        <w:trPr>
          <w:trHeight w:val="397" w:hRule="atLeast"/>
        </w:trPr>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G04</w:t>
            </w:r>
          </w:p>
        </w:tc>
        <w:tc>
          <w:tcPr>
            <w:tcW w:w="7451" w:type="dxa"/>
            <w:tcBorders>
              <w:top w:val="single" w:color="auto" w:sz="4" w:space="0"/>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平板挂车</w:t>
            </w:r>
          </w:p>
        </w:tc>
      </w:tr>
      <w:tr>
        <w:tblPrEx>
          <w:tblLayout w:type="fixed"/>
          <w:tblCellMar>
            <w:top w:w="0" w:type="dxa"/>
            <w:left w:w="108" w:type="dxa"/>
            <w:bottom w:w="0" w:type="dxa"/>
            <w:right w:w="108" w:type="dxa"/>
          </w:tblCellMar>
        </w:tblPrEx>
        <w:trPr>
          <w:trHeight w:val="397" w:hRule="atLeast"/>
        </w:trPr>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G06</w:t>
            </w:r>
          </w:p>
        </w:tc>
        <w:tc>
          <w:tcPr>
            <w:tcW w:w="7451" w:type="dxa"/>
            <w:tcBorders>
              <w:top w:val="single" w:color="auto" w:sz="4" w:space="0"/>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自卸挂车</w:t>
            </w:r>
          </w:p>
        </w:tc>
      </w:tr>
      <w:tr>
        <w:tblPrEx>
          <w:tblLayout w:type="fixed"/>
          <w:tblCellMar>
            <w:top w:w="0" w:type="dxa"/>
            <w:left w:w="108" w:type="dxa"/>
            <w:bottom w:w="0" w:type="dxa"/>
            <w:right w:w="108" w:type="dxa"/>
          </w:tblCellMar>
        </w:tblPrEx>
        <w:trPr>
          <w:trHeight w:val="397" w:hRule="atLeast"/>
        </w:trPr>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G09</w:t>
            </w:r>
          </w:p>
        </w:tc>
        <w:tc>
          <w:tcPr>
            <w:tcW w:w="7451" w:type="dxa"/>
            <w:tcBorders>
              <w:top w:val="single" w:color="auto" w:sz="4" w:space="0"/>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专项作业挂车</w:t>
            </w:r>
          </w:p>
        </w:tc>
      </w:tr>
      <w:tr>
        <w:tblPrEx>
          <w:tblLayout w:type="fixed"/>
          <w:tblCellMar>
            <w:top w:w="0" w:type="dxa"/>
            <w:left w:w="108" w:type="dxa"/>
            <w:bottom w:w="0" w:type="dxa"/>
            <w:right w:w="108" w:type="dxa"/>
          </w:tblCellMar>
        </w:tblPrEx>
        <w:trPr>
          <w:trHeight w:val="397" w:hRule="atLeast"/>
        </w:trPr>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X91</w:t>
            </w:r>
          </w:p>
        </w:tc>
        <w:tc>
          <w:tcPr>
            <w:tcW w:w="7451" w:type="dxa"/>
            <w:tcBorders>
              <w:top w:val="single" w:color="auto" w:sz="4" w:space="0"/>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车辆运输车</w:t>
            </w:r>
          </w:p>
        </w:tc>
      </w:tr>
      <w:tr>
        <w:tblPrEx>
          <w:tblLayout w:type="fixed"/>
          <w:tblCellMar>
            <w:top w:w="0" w:type="dxa"/>
            <w:left w:w="108" w:type="dxa"/>
            <w:bottom w:w="0" w:type="dxa"/>
            <w:right w:w="108" w:type="dxa"/>
          </w:tblCellMar>
        </w:tblPrEx>
        <w:trPr>
          <w:trHeight w:val="397" w:hRule="atLeast"/>
        </w:trPr>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X92</w:t>
            </w:r>
          </w:p>
        </w:tc>
        <w:tc>
          <w:tcPr>
            <w:tcW w:w="7451" w:type="dxa"/>
            <w:tcBorders>
              <w:top w:val="single" w:color="auto" w:sz="4" w:space="0"/>
              <w:left w:val="nil"/>
              <w:bottom w:val="single" w:color="auto" w:sz="4" w:space="0"/>
              <w:right w:val="single" w:color="auto" w:sz="4" w:space="0"/>
            </w:tcBorders>
            <w:shd w:val="clear" w:color="auto" w:fill="auto"/>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车辆运输车</w:t>
            </w:r>
            <w:r>
              <w:rPr>
                <w:rFonts w:ascii="Times New Roman" w:hAnsi="Times New Roman" w:cs="宋体" w:eastAsiaTheme="majorEastAsia"/>
                <w:kern w:val="0"/>
                <w:sz w:val="24"/>
                <w:szCs w:val="24"/>
              </w:rPr>
              <w:t>(</w:t>
            </w:r>
            <w:r>
              <w:rPr>
                <w:rFonts w:hint="eastAsia" w:ascii="Times New Roman" w:hAnsi="Times New Roman" w:cs="宋体" w:eastAsiaTheme="majorEastAsia"/>
                <w:kern w:val="0"/>
                <w:sz w:val="24"/>
                <w:szCs w:val="24"/>
              </w:rPr>
              <w:t>单排</w:t>
            </w:r>
            <w:r>
              <w:rPr>
                <w:rFonts w:ascii="Times New Roman" w:hAnsi="Times New Roman" w:cs="宋体" w:eastAsiaTheme="majorEastAsia"/>
                <w:kern w:val="0"/>
                <w:sz w:val="24"/>
                <w:szCs w:val="24"/>
              </w:rPr>
              <w:t>)</w:t>
            </w:r>
          </w:p>
        </w:tc>
      </w:tr>
    </w:tbl>
    <w:p>
      <w:pPr>
        <w:pStyle w:val="4"/>
        <w:numPr>
          <w:ilvl w:val="0"/>
          <w:numId w:val="0"/>
        </w:numPr>
        <w:overflowPunct w:val="0"/>
        <w:snapToGrid w:val="0"/>
        <w:spacing w:before="156" w:beforeLines="50" w:after="156" w:afterLines="50" w:line="360" w:lineRule="auto"/>
        <w:jc w:val="both"/>
        <w:rPr>
          <w:rFonts w:eastAsia="黑体"/>
          <w:b w:val="0"/>
        </w:rPr>
      </w:pPr>
      <w:bookmarkStart w:id="13" w:name="_Toc476581374"/>
      <w:r>
        <w:rPr>
          <w:rFonts w:eastAsia="黑体"/>
          <w:b w:val="0"/>
        </w:rPr>
        <w:t xml:space="preserve">4.2.5 </w:t>
      </w:r>
      <w:r>
        <w:rPr>
          <w:rFonts w:hint="eastAsia" w:eastAsia="黑体"/>
          <w:b w:val="0"/>
        </w:rPr>
        <w:t>货物分类代码（分类编号</w:t>
      </w:r>
      <w:r>
        <w:rPr>
          <w:rFonts w:eastAsia="黑体"/>
          <w:b w:val="0"/>
        </w:rPr>
        <w:t>: WL0700085</w:t>
      </w:r>
      <w:r>
        <w:rPr>
          <w:rFonts w:hint="eastAsia" w:eastAsia="黑体"/>
          <w:b w:val="0"/>
        </w:rPr>
        <w:t>）</w:t>
      </w:r>
      <w:bookmarkEnd w:id="13"/>
    </w:p>
    <w:p>
      <w:pPr>
        <w:overflowPunct w:val="0"/>
        <w:snapToGrid w:val="0"/>
        <w:spacing w:line="360" w:lineRule="auto"/>
        <w:ind w:firstLine="640"/>
        <w:rPr>
          <w:rFonts w:ascii="Times New Roman" w:hAnsi="Times New Roman"/>
        </w:rPr>
      </w:pPr>
      <w:r>
        <w:rPr>
          <w:rFonts w:hint="eastAsia" w:ascii="Times New Roman" w:hAnsi="Times New Roman"/>
        </w:rPr>
        <w:t>定义：规定货物类型分类的代码。</w:t>
      </w:r>
    </w:p>
    <w:p>
      <w:pPr>
        <w:overflowPunct w:val="0"/>
        <w:snapToGrid w:val="0"/>
        <w:spacing w:line="360" w:lineRule="auto"/>
        <w:ind w:firstLine="640"/>
        <w:rPr>
          <w:rFonts w:ascii="Times New Roman" w:hAnsi="Times New Roman"/>
        </w:rPr>
      </w:pPr>
      <w:r>
        <w:rPr>
          <w:rFonts w:hint="eastAsia" w:ascii="Times New Roman" w:hAnsi="Times New Roman"/>
        </w:rPr>
        <w:t>参考标准：参考</w:t>
      </w:r>
      <w:r>
        <w:rPr>
          <w:rFonts w:ascii="Times New Roman" w:hAnsi="Times New Roman"/>
        </w:rPr>
        <w:t>GB/T 16833-2011</w:t>
      </w:r>
      <w:r>
        <w:rPr>
          <w:rFonts w:hint="eastAsia" w:ascii="Times New Roman" w:hAnsi="Times New Roman"/>
        </w:rPr>
        <w:t>“</w:t>
      </w:r>
      <w:r>
        <w:rPr>
          <w:rFonts w:ascii="Times New Roman" w:hAnsi="Times New Roman"/>
        </w:rPr>
        <w:t xml:space="preserve">7085 </w:t>
      </w:r>
      <w:r>
        <w:rPr>
          <w:rFonts w:hint="eastAsia" w:ascii="Times New Roman" w:hAnsi="Times New Roman"/>
        </w:rPr>
        <w:t>货物类型分类代码”</w:t>
      </w:r>
    </w:p>
    <w:p>
      <w:pPr>
        <w:overflowPunct w:val="0"/>
        <w:snapToGrid w:val="0"/>
        <w:spacing w:line="360" w:lineRule="auto"/>
        <w:ind w:firstLine="640"/>
        <w:rPr>
          <w:rFonts w:ascii="Times New Roman" w:hAnsi="Times New Roman"/>
        </w:rPr>
      </w:pPr>
      <w:r>
        <w:rPr>
          <w:rFonts w:hint="eastAsia" w:ascii="Times New Roman" w:hAnsi="Times New Roman"/>
        </w:rPr>
        <w:t>代码值域：</w:t>
      </w:r>
    </w:p>
    <w:tbl>
      <w:tblPr>
        <w:tblStyle w:val="25"/>
        <w:tblW w:w="9003" w:type="dxa"/>
        <w:tblInd w:w="0" w:type="dxa"/>
        <w:tblLayout w:type="fixed"/>
        <w:tblCellMar>
          <w:top w:w="0" w:type="dxa"/>
          <w:left w:w="108" w:type="dxa"/>
          <w:bottom w:w="0" w:type="dxa"/>
          <w:right w:w="108" w:type="dxa"/>
        </w:tblCellMar>
      </w:tblPr>
      <w:tblGrid>
        <w:gridCol w:w="1354"/>
        <w:gridCol w:w="1354"/>
        <w:gridCol w:w="2935"/>
        <w:gridCol w:w="3360"/>
      </w:tblGrid>
      <w:tr>
        <w:tblPrEx>
          <w:tblLayout w:type="fixed"/>
          <w:tblCellMar>
            <w:top w:w="0" w:type="dxa"/>
            <w:left w:w="108" w:type="dxa"/>
            <w:bottom w:w="0" w:type="dxa"/>
            <w:right w:w="108" w:type="dxa"/>
          </w:tblCellMar>
        </w:tblPrEx>
        <w:trPr>
          <w:trHeight w:val="397" w:hRule="atLeast"/>
        </w:trPr>
        <w:tc>
          <w:tcPr>
            <w:tcW w:w="1354" w:type="dxa"/>
            <w:tcBorders>
              <w:top w:val="single" w:color="auto" w:sz="8" w:space="0"/>
              <w:left w:val="single" w:color="auto" w:sz="8" w:space="0"/>
              <w:bottom w:val="single" w:color="auto" w:sz="8" w:space="0"/>
              <w:right w:val="single" w:color="auto" w:sz="8"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代码</w:t>
            </w:r>
          </w:p>
        </w:tc>
        <w:tc>
          <w:tcPr>
            <w:tcW w:w="1354" w:type="dxa"/>
            <w:tcBorders>
              <w:top w:val="single" w:color="auto" w:sz="8" w:space="0"/>
              <w:left w:val="nil"/>
              <w:bottom w:val="single" w:color="auto" w:sz="8" w:space="0"/>
              <w:right w:val="single" w:color="auto" w:sz="8"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名称</w:t>
            </w:r>
          </w:p>
        </w:tc>
        <w:tc>
          <w:tcPr>
            <w:tcW w:w="2935" w:type="dxa"/>
            <w:tcBorders>
              <w:top w:val="single" w:color="auto" w:sz="8" w:space="0"/>
              <w:left w:val="nil"/>
              <w:bottom w:val="single" w:color="auto" w:sz="8" w:space="0"/>
              <w:right w:val="single" w:color="auto" w:sz="8"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英文名称</w:t>
            </w:r>
          </w:p>
        </w:tc>
        <w:tc>
          <w:tcPr>
            <w:tcW w:w="3360" w:type="dxa"/>
            <w:tcBorders>
              <w:top w:val="single" w:color="auto" w:sz="8" w:space="0"/>
              <w:left w:val="nil"/>
              <w:bottom w:val="single" w:color="auto" w:sz="8" w:space="0"/>
              <w:right w:val="single" w:color="auto" w:sz="8" w:space="0"/>
            </w:tcBorders>
            <w:shd w:val="clear" w:color="auto" w:fill="EEECE1" w:themeFill="background2"/>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描述</w:t>
            </w:r>
          </w:p>
        </w:tc>
      </w:tr>
      <w:tr>
        <w:tblPrEx>
          <w:tblLayout w:type="fixed"/>
          <w:tblCellMar>
            <w:top w:w="0" w:type="dxa"/>
            <w:left w:w="108" w:type="dxa"/>
            <w:bottom w:w="0" w:type="dxa"/>
            <w:right w:w="108" w:type="dxa"/>
          </w:tblCellMar>
        </w:tblPrEx>
        <w:trPr>
          <w:trHeight w:val="397" w:hRule="atLeast"/>
        </w:trPr>
        <w:tc>
          <w:tcPr>
            <w:tcW w:w="1354" w:type="dxa"/>
            <w:tcBorders>
              <w:top w:val="single" w:color="auto" w:sz="8" w:space="0"/>
              <w:left w:val="single" w:color="auto" w:sz="8" w:space="0"/>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90</w:t>
            </w:r>
          </w:p>
        </w:tc>
        <w:tc>
          <w:tcPr>
            <w:tcW w:w="1354"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电子产品</w:t>
            </w:r>
          </w:p>
        </w:tc>
        <w:tc>
          <w:tcPr>
            <w:tcW w:w="2935"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Electronic product</w:t>
            </w:r>
          </w:p>
        </w:tc>
        <w:tc>
          <w:tcPr>
            <w:tcW w:w="3360"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以电能为工作基础的相关产品，如手机、电视等</w:t>
            </w:r>
          </w:p>
        </w:tc>
      </w:tr>
      <w:tr>
        <w:tblPrEx>
          <w:tblLayout w:type="fixed"/>
          <w:tblCellMar>
            <w:top w:w="0" w:type="dxa"/>
            <w:left w:w="108" w:type="dxa"/>
            <w:bottom w:w="0" w:type="dxa"/>
            <w:right w:w="108" w:type="dxa"/>
          </w:tblCellMar>
        </w:tblPrEx>
        <w:trPr>
          <w:trHeight w:val="397" w:hRule="atLeast"/>
        </w:trPr>
        <w:tc>
          <w:tcPr>
            <w:tcW w:w="1354" w:type="dxa"/>
            <w:tcBorders>
              <w:top w:val="nil"/>
              <w:left w:val="single" w:color="auto" w:sz="8" w:space="0"/>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92</w:t>
            </w:r>
          </w:p>
        </w:tc>
        <w:tc>
          <w:tcPr>
            <w:tcW w:w="1354" w:type="dxa"/>
            <w:tcBorders>
              <w:top w:val="nil"/>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商品汽车</w:t>
            </w:r>
          </w:p>
        </w:tc>
        <w:tc>
          <w:tcPr>
            <w:tcW w:w="2935" w:type="dxa"/>
            <w:tcBorders>
              <w:top w:val="nil"/>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Automobile</w:t>
            </w:r>
          </w:p>
        </w:tc>
        <w:tc>
          <w:tcPr>
            <w:tcW w:w="3360" w:type="dxa"/>
            <w:tcBorders>
              <w:top w:val="nil"/>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商品运输车</w:t>
            </w:r>
          </w:p>
        </w:tc>
      </w:tr>
      <w:tr>
        <w:tblPrEx>
          <w:tblLayout w:type="fixed"/>
          <w:tblCellMar>
            <w:top w:w="0" w:type="dxa"/>
            <w:left w:w="108" w:type="dxa"/>
            <w:bottom w:w="0" w:type="dxa"/>
            <w:right w:w="108" w:type="dxa"/>
          </w:tblCellMar>
        </w:tblPrEx>
        <w:trPr>
          <w:trHeight w:val="397" w:hRule="atLeast"/>
        </w:trPr>
        <w:tc>
          <w:tcPr>
            <w:tcW w:w="1354" w:type="dxa"/>
            <w:tcBorders>
              <w:top w:val="nil"/>
              <w:left w:val="single" w:color="auto" w:sz="8" w:space="0"/>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93</w:t>
            </w:r>
          </w:p>
        </w:tc>
        <w:tc>
          <w:tcPr>
            <w:tcW w:w="1354" w:type="dxa"/>
            <w:tcBorders>
              <w:top w:val="nil"/>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冷藏货物</w:t>
            </w:r>
          </w:p>
        </w:tc>
        <w:tc>
          <w:tcPr>
            <w:tcW w:w="2935" w:type="dxa"/>
            <w:tcBorders>
              <w:top w:val="nil"/>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Cold cargo</w:t>
            </w:r>
          </w:p>
        </w:tc>
        <w:tc>
          <w:tcPr>
            <w:tcW w:w="3360" w:type="dxa"/>
            <w:tcBorders>
              <w:top w:val="nil"/>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冷藏产品的货物</w:t>
            </w:r>
          </w:p>
        </w:tc>
      </w:tr>
      <w:tr>
        <w:tblPrEx>
          <w:tblLayout w:type="fixed"/>
          <w:tblCellMar>
            <w:top w:w="0" w:type="dxa"/>
            <w:left w:w="108" w:type="dxa"/>
            <w:bottom w:w="0" w:type="dxa"/>
            <w:right w:w="108" w:type="dxa"/>
          </w:tblCellMar>
        </w:tblPrEx>
        <w:trPr>
          <w:trHeight w:val="397" w:hRule="atLeast"/>
        </w:trPr>
        <w:tc>
          <w:tcPr>
            <w:tcW w:w="1354" w:type="dxa"/>
            <w:tcBorders>
              <w:top w:val="nil"/>
              <w:left w:val="single" w:color="auto" w:sz="8" w:space="0"/>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94</w:t>
            </w:r>
          </w:p>
        </w:tc>
        <w:tc>
          <w:tcPr>
            <w:tcW w:w="1354" w:type="dxa"/>
            <w:tcBorders>
              <w:top w:val="nil"/>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大宗货物</w:t>
            </w:r>
          </w:p>
        </w:tc>
        <w:tc>
          <w:tcPr>
            <w:tcW w:w="2935" w:type="dxa"/>
            <w:tcBorders>
              <w:top w:val="nil"/>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Bulk cargo</w:t>
            </w:r>
          </w:p>
        </w:tc>
        <w:tc>
          <w:tcPr>
            <w:tcW w:w="3360" w:type="dxa"/>
            <w:tcBorders>
              <w:top w:val="nil"/>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大批量运输的货物，如能源产品、基础原材料和农副产品</w:t>
            </w:r>
          </w:p>
        </w:tc>
      </w:tr>
      <w:tr>
        <w:tblPrEx>
          <w:tblLayout w:type="fixed"/>
          <w:tblCellMar>
            <w:top w:w="0" w:type="dxa"/>
            <w:left w:w="108" w:type="dxa"/>
            <w:bottom w:w="0" w:type="dxa"/>
            <w:right w:w="108" w:type="dxa"/>
          </w:tblCellMar>
        </w:tblPrEx>
        <w:trPr>
          <w:trHeight w:val="397" w:hRule="atLeast"/>
        </w:trPr>
        <w:tc>
          <w:tcPr>
            <w:tcW w:w="1354" w:type="dxa"/>
            <w:tcBorders>
              <w:top w:val="single" w:color="auto" w:sz="8" w:space="0"/>
              <w:left w:val="single" w:color="auto" w:sz="8" w:space="0"/>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95</w:t>
            </w:r>
          </w:p>
        </w:tc>
        <w:tc>
          <w:tcPr>
            <w:tcW w:w="1354"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快速消费品</w:t>
            </w:r>
          </w:p>
        </w:tc>
        <w:tc>
          <w:tcPr>
            <w:tcW w:w="2935"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Fast-moving consumer goods</w:t>
            </w:r>
          </w:p>
        </w:tc>
        <w:tc>
          <w:tcPr>
            <w:tcW w:w="3360"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消费速度快的消费品</w:t>
            </w:r>
          </w:p>
        </w:tc>
      </w:tr>
      <w:tr>
        <w:tblPrEx>
          <w:tblLayout w:type="fixed"/>
          <w:tblCellMar>
            <w:top w:w="0" w:type="dxa"/>
            <w:left w:w="108" w:type="dxa"/>
            <w:bottom w:w="0" w:type="dxa"/>
            <w:right w:w="108" w:type="dxa"/>
          </w:tblCellMar>
        </w:tblPrEx>
        <w:trPr>
          <w:trHeight w:val="397" w:hRule="atLeast"/>
        </w:trPr>
        <w:tc>
          <w:tcPr>
            <w:tcW w:w="1354" w:type="dxa"/>
            <w:tcBorders>
              <w:top w:val="single" w:color="auto" w:sz="8" w:space="0"/>
              <w:left w:val="single" w:color="auto" w:sz="8" w:space="0"/>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96</w:t>
            </w:r>
          </w:p>
        </w:tc>
        <w:tc>
          <w:tcPr>
            <w:tcW w:w="1354"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农产品</w:t>
            </w:r>
          </w:p>
        </w:tc>
        <w:tc>
          <w:tcPr>
            <w:tcW w:w="2935"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agricultural products</w:t>
            </w:r>
          </w:p>
        </w:tc>
        <w:tc>
          <w:tcPr>
            <w:tcW w:w="3360"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农业中生产的供小批量销售物品，如高粱、稻子、玉米等。</w:t>
            </w:r>
          </w:p>
        </w:tc>
      </w:tr>
      <w:tr>
        <w:tblPrEx>
          <w:tblLayout w:type="fixed"/>
          <w:tblCellMar>
            <w:top w:w="0" w:type="dxa"/>
            <w:left w:w="108" w:type="dxa"/>
            <w:bottom w:w="0" w:type="dxa"/>
            <w:right w:w="108" w:type="dxa"/>
          </w:tblCellMar>
        </w:tblPrEx>
        <w:trPr>
          <w:trHeight w:val="397" w:hRule="atLeast"/>
        </w:trPr>
        <w:tc>
          <w:tcPr>
            <w:tcW w:w="1354" w:type="dxa"/>
            <w:tcBorders>
              <w:top w:val="single" w:color="auto" w:sz="8" w:space="0"/>
              <w:left w:val="single" w:color="auto" w:sz="8" w:space="0"/>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ascii="Times New Roman" w:hAnsi="Times New Roman" w:cs="宋体" w:eastAsiaTheme="majorEastAsia"/>
                <w:kern w:val="0"/>
                <w:sz w:val="24"/>
                <w:szCs w:val="24"/>
              </w:rPr>
              <w:t>999</w:t>
            </w:r>
          </w:p>
        </w:tc>
        <w:tc>
          <w:tcPr>
            <w:tcW w:w="1354"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r>
              <w:rPr>
                <w:rFonts w:hint="eastAsia" w:ascii="Times New Roman" w:hAnsi="Times New Roman" w:cs="宋体" w:eastAsiaTheme="majorEastAsia"/>
                <w:kern w:val="0"/>
                <w:sz w:val="24"/>
                <w:szCs w:val="24"/>
              </w:rPr>
              <w:t>其他</w:t>
            </w:r>
          </w:p>
        </w:tc>
        <w:tc>
          <w:tcPr>
            <w:tcW w:w="2935"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c>
          <w:tcPr>
            <w:tcW w:w="3360" w:type="dxa"/>
            <w:tcBorders>
              <w:top w:val="single" w:color="auto" w:sz="8" w:space="0"/>
              <w:left w:val="nil"/>
              <w:bottom w:val="single" w:color="auto" w:sz="8" w:space="0"/>
              <w:right w:val="single" w:color="auto" w:sz="8" w:space="0"/>
            </w:tcBorders>
            <w:shd w:val="clear" w:color="000000" w:fill="FFFFFF" w:themeFill="background1"/>
            <w:vAlign w:val="center"/>
          </w:tcPr>
          <w:p>
            <w:pPr>
              <w:widowControl/>
              <w:overflowPunct w:val="0"/>
              <w:snapToGrid w:val="0"/>
              <w:ind w:firstLine="0" w:firstLineChars="0"/>
              <w:jc w:val="center"/>
              <w:rPr>
                <w:rFonts w:ascii="Times New Roman" w:hAnsi="Times New Roman" w:cs="宋体" w:eastAsiaTheme="majorEastAsia"/>
                <w:kern w:val="0"/>
                <w:sz w:val="24"/>
                <w:szCs w:val="24"/>
              </w:rPr>
            </w:pPr>
          </w:p>
        </w:tc>
      </w:tr>
    </w:tbl>
    <w:p>
      <w:pPr>
        <w:pStyle w:val="4"/>
        <w:numPr>
          <w:ilvl w:val="0"/>
          <w:numId w:val="0"/>
        </w:numPr>
        <w:overflowPunct w:val="0"/>
        <w:snapToGrid w:val="0"/>
        <w:spacing w:before="156" w:beforeLines="50" w:after="156" w:afterLines="50" w:line="360" w:lineRule="auto"/>
        <w:jc w:val="both"/>
        <w:rPr>
          <w:rFonts w:eastAsia="黑体"/>
          <w:b w:val="0"/>
        </w:rPr>
      </w:pPr>
      <w:bookmarkStart w:id="14" w:name="_Toc476581375"/>
      <w:r>
        <w:rPr>
          <w:rFonts w:eastAsia="黑体"/>
          <w:b w:val="0"/>
        </w:rPr>
        <w:t xml:space="preserve">4.2.6 </w:t>
      </w:r>
      <w:r>
        <w:rPr>
          <w:rFonts w:hint="eastAsia" w:eastAsia="黑体"/>
          <w:b w:val="0"/>
        </w:rPr>
        <w:t>国家行政区划代码（分类编号</w:t>
      </w:r>
      <w:r>
        <w:rPr>
          <w:rFonts w:eastAsia="黑体"/>
          <w:b w:val="0"/>
        </w:rPr>
        <w:t>:WL0300229</w:t>
      </w:r>
      <w:r>
        <w:rPr>
          <w:rFonts w:hint="eastAsia" w:eastAsia="黑体"/>
          <w:b w:val="0"/>
        </w:rPr>
        <w:t>）</w:t>
      </w:r>
      <w:bookmarkEnd w:id="14"/>
    </w:p>
    <w:p>
      <w:pPr>
        <w:overflowPunct w:val="0"/>
        <w:snapToGrid w:val="0"/>
        <w:spacing w:line="360" w:lineRule="auto"/>
        <w:ind w:firstLine="640"/>
        <w:rPr>
          <w:rFonts w:ascii="Times New Roman" w:hAnsi="Times New Roman"/>
          <w:kern w:val="0"/>
        </w:rPr>
      </w:pPr>
      <w:r>
        <w:rPr>
          <w:rFonts w:hint="eastAsia" w:ascii="Times New Roman" w:hAnsi="Times New Roman"/>
          <w:kern w:val="0"/>
        </w:rPr>
        <w:t>定义：标识国家或地区行政区划的代码。</w:t>
      </w:r>
    </w:p>
    <w:p>
      <w:pPr>
        <w:overflowPunct w:val="0"/>
        <w:snapToGrid w:val="0"/>
        <w:spacing w:line="360" w:lineRule="auto"/>
        <w:ind w:firstLine="640"/>
        <w:rPr>
          <w:rFonts w:ascii="Times New Roman" w:hAnsi="Times New Roman"/>
          <w:kern w:val="0"/>
        </w:rPr>
      </w:pPr>
      <w:r>
        <w:rPr>
          <w:rFonts w:hint="eastAsia" w:ascii="Times New Roman" w:hAnsi="Times New Roman"/>
          <w:kern w:val="0"/>
        </w:rPr>
        <w:t>参考标准：参考</w:t>
      </w:r>
      <w:r>
        <w:rPr>
          <w:rFonts w:ascii="Times New Roman" w:hAnsi="Times New Roman"/>
          <w:kern w:val="0"/>
        </w:rPr>
        <w:t>GB/T 2260</w:t>
      </w:r>
      <w:r>
        <w:rPr>
          <w:rFonts w:hint="eastAsia" w:ascii="Times New Roman" w:hAnsi="Times New Roman"/>
          <w:kern w:val="0"/>
        </w:rPr>
        <w:t>中的行政区划数字代码</w:t>
      </w:r>
    </w:p>
    <w:p>
      <w:pPr>
        <w:overflowPunct w:val="0"/>
        <w:snapToGrid w:val="0"/>
        <w:spacing w:line="360" w:lineRule="auto"/>
        <w:ind w:firstLine="640"/>
        <w:rPr>
          <w:rFonts w:ascii="Times New Roman" w:hAnsi="Times New Roman"/>
          <w:kern w:val="0"/>
        </w:rPr>
      </w:pPr>
      <w:r>
        <w:rPr>
          <w:rFonts w:hint="eastAsia" w:ascii="Times New Roman" w:hAnsi="Times New Roman"/>
        </w:rPr>
        <w:t>代码集中未具体列出的代码值域范围可参见网站：</w:t>
      </w:r>
      <w:r>
        <w:rPr>
          <w:rFonts w:ascii="Times New Roman" w:hAnsi="Times New Roman"/>
        </w:rPr>
        <w:t xml:space="preserve"> http://www.logink.org/col/col19/index.html</w:t>
      </w:r>
      <w:r>
        <w:rPr>
          <w:rFonts w:hint="eastAsia" w:ascii="Times New Roman" w:hAnsi="Times New Roman"/>
        </w:rPr>
        <w:t>“下载目录”</w:t>
      </w:r>
      <w:r>
        <w:rPr>
          <w:rFonts w:ascii="Times New Roman" w:hAnsi="Times New Roman"/>
        </w:rPr>
        <w:t>-</w:t>
      </w:r>
      <w:r>
        <w:rPr>
          <w:rFonts w:hint="eastAsia" w:ascii="Times New Roman" w:hAnsi="Times New Roman"/>
        </w:rPr>
        <w:t>“交通运输物流信息互联共享标准（</w:t>
      </w:r>
      <w:r>
        <w:rPr>
          <w:rFonts w:ascii="Times New Roman" w:hAnsi="Times New Roman"/>
        </w:rPr>
        <w:t>2015</w:t>
      </w:r>
      <w:r>
        <w:rPr>
          <w:rFonts w:hint="eastAsia" w:ascii="Times New Roman" w:hAnsi="Times New Roman"/>
        </w:rPr>
        <w:t>）”</w:t>
      </w:r>
      <w:r>
        <w:rPr>
          <w:rFonts w:ascii="Times New Roman" w:hAnsi="Times New Roman"/>
        </w:rPr>
        <w:t>-</w:t>
      </w:r>
      <w:r>
        <w:rPr>
          <w:rFonts w:hint="eastAsia" w:ascii="Times New Roman" w:hAnsi="Times New Roman"/>
        </w:rPr>
        <w:t>“基础标准</w:t>
      </w:r>
      <w:r>
        <w:rPr>
          <w:rFonts w:ascii="Times New Roman" w:hAnsi="Times New Roman"/>
        </w:rPr>
        <w:t>:</w:t>
      </w:r>
      <w:r>
        <w:rPr>
          <w:rFonts w:hint="eastAsia" w:ascii="Times New Roman" w:hAnsi="Times New Roman"/>
        </w:rPr>
        <w:t>代码集”内容。</w:t>
      </w:r>
    </w:p>
    <w:p>
      <w:pPr>
        <w:pStyle w:val="2"/>
        <w:numPr>
          <w:ilvl w:val="0"/>
          <w:numId w:val="0"/>
        </w:numPr>
        <w:overflowPunct w:val="0"/>
        <w:snapToGrid w:val="0"/>
        <w:spacing w:before="156" w:after="156" w:line="360" w:lineRule="auto"/>
        <w:jc w:val="both"/>
        <w:rPr>
          <w:b w:val="0"/>
          <w:sz w:val="32"/>
          <w:szCs w:val="32"/>
        </w:rPr>
      </w:pPr>
      <w:bookmarkStart w:id="15" w:name="_Toc476581376"/>
      <w:r>
        <w:rPr>
          <w:b w:val="0"/>
          <w:sz w:val="32"/>
          <w:szCs w:val="32"/>
        </w:rPr>
        <w:t>5</w:t>
      </w:r>
      <w:r>
        <w:rPr>
          <w:rFonts w:hint="eastAsia"/>
          <w:b w:val="0"/>
          <w:sz w:val="32"/>
          <w:szCs w:val="32"/>
        </w:rPr>
        <w:t>异常情况说明及处理</w:t>
      </w:r>
      <w:bookmarkEnd w:id="15"/>
    </w:p>
    <w:p>
      <w:pPr>
        <w:pStyle w:val="3"/>
        <w:numPr>
          <w:ilvl w:val="0"/>
          <w:numId w:val="0"/>
        </w:numPr>
        <w:overflowPunct w:val="0"/>
        <w:snapToGrid w:val="0"/>
        <w:spacing w:before="156" w:after="156" w:line="360" w:lineRule="auto"/>
        <w:jc w:val="both"/>
        <w:rPr>
          <w:rFonts w:ascii="Times New Roman" w:hAnsi="Times New Roman" w:eastAsia="黑体"/>
          <w:b w:val="0"/>
        </w:rPr>
      </w:pPr>
      <w:bookmarkStart w:id="16" w:name="_Toc476581377"/>
      <w:r>
        <w:rPr>
          <w:rFonts w:ascii="Times New Roman" w:hAnsi="Times New Roman" w:eastAsia="黑体"/>
          <w:b w:val="0"/>
        </w:rPr>
        <w:t>5.1</w:t>
      </w:r>
      <w:r>
        <w:rPr>
          <w:rFonts w:hint="eastAsia" w:ascii="Times New Roman" w:hAnsi="Times New Roman" w:eastAsia="黑体"/>
          <w:b w:val="0"/>
        </w:rPr>
        <w:t>异常情况说明</w:t>
      </w:r>
      <w:bookmarkEnd w:id="16"/>
    </w:p>
    <w:p>
      <w:pPr>
        <w:ind w:firstLine="640"/>
      </w:pPr>
      <w:r>
        <w:rPr>
          <w:rFonts w:hint="eastAsia"/>
        </w:rPr>
        <w:t>部监测平台将对企业上报数据进行异常情况的统计分析，主要为单据接入异常、车辆资质异常、车辆入网异常、车辆定位异常、综合异常等。</w:t>
      </w:r>
    </w:p>
    <w:p>
      <w:pPr>
        <w:ind w:firstLine="640"/>
      </w:pPr>
      <w:r>
        <w:rPr>
          <w:rFonts w:hint="eastAsia"/>
        </w:rPr>
        <w:t>（</w:t>
      </w:r>
      <w:r>
        <w:t>1</w:t>
      </w:r>
      <w:r>
        <w:rPr>
          <w:rFonts w:hint="eastAsia"/>
        </w:rPr>
        <w:t>）单据接入异常，指企业上报的单据未按填报要求填报，必填项未填或填报数据格式不符合要求。</w:t>
      </w:r>
    </w:p>
    <w:p>
      <w:pPr>
        <w:ind w:firstLine="640"/>
      </w:pPr>
      <w:r>
        <w:rPr>
          <w:rFonts w:hint="eastAsia"/>
        </w:rPr>
        <w:t>（</w:t>
      </w:r>
      <w:r>
        <w:t>2</w:t>
      </w:r>
      <w:r>
        <w:rPr>
          <w:rFonts w:hint="eastAsia"/>
        </w:rPr>
        <w:t>）车辆资质异常，指企业上报业务单据中的车辆信息与运政系统信息相比对，存在车辆无道路运输证、证件过期、运政信息与证件信息不符的情况。</w:t>
      </w:r>
    </w:p>
    <w:p>
      <w:pPr>
        <w:ind w:firstLine="640"/>
      </w:pPr>
      <w:r>
        <w:rPr>
          <w:rFonts w:hint="eastAsia"/>
        </w:rPr>
        <w:t>（</w:t>
      </w:r>
      <w:r>
        <w:t>3</w:t>
      </w:r>
      <w:r>
        <w:rPr>
          <w:rFonts w:hint="eastAsia"/>
        </w:rPr>
        <w:t>）车辆入网异常，指总质量</w:t>
      </w:r>
      <w:r>
        <w:t>12</w:t>
      </w:r>
      <w:r>
        <w:rPr>
          <w:rFonts w:hint="eastAsia"/>
        </w:rPr>
        <w:t>吨及以上普通货运车辆尚未接入全国道路货运车辆公共监管与服务平台。</w:t>
      </w:r>
    </w:p>
    <w:p>
      <w:pPr>
        <w:ind w:firstLine="640"/>
      </w:pPr>
      <w:r>
        <w:rPr>
          <w:rFonts w:hint="eastAsia"/>
        </w:rPr>
        <w:t>（</w:t>
      </w:r>
      <w:r>
        <w:t>4</w:t>
      </w:r>
      <w:r>
        <w:rPr>
          <w:rFonts w:hint="eastAsia"/>
        </w:rPr>
        <w:t>）车辆定位异常，指总质量</w:t>
      </w:r>
      <w:r>
        <w:t>12</w:t>
      </w:r>
      <w:r>
        <w:rPr>
          <w:rFonts w:hint="eastAsia"/>
        </w:rPr>
        <w:t>吨及以上货运车辆进行运输的业务单据中，起讫点的定位信息与全国道路货运车辆公共监管与服务平台轨迹定位信息不符。</w:t>
      </w:r>
    </w:p>
    <w:p>
      <w:pPr>
        <w:ind w:firstLine="640"/>
      </w:pPr>
      <w:r>
        <w:rPr>
          <w:rFonts w:hint="eastAsia"/>
        </w:rPr>
        <w:t>如一条单据中含以上任意一种或几种异常的，则该单据为异常单据。综合异常率为一定时期内异常单据占总上传单据量的比例。</w:t>
      </w:r>
    </w:p>
    <w:p>
      <w:pPr>
        <w:pStyle w:val="3"/>
        <w:numPr>
          <w:ilvl w:val="0"/>
          <w:numId w:val="0"/>
        </w:numPr>
        <w:overflowPunct w:val="0"/>
        <w:snapToGrid w:val="0"/>
        <w:spacing w:before="156" w:after="156" w:line="360" w:lineRule="auto"/>
        <w:jc w:val="both"/>
        <w:rPr>
          <w:rFonts w:ascii="Times New Roman" w:hAnsi="Times New Roman" w:eastAsia="黑体"/>
          <w:b w:val="0"/>
        </w:rPr>
      </w:pPr>
      <w:bookmarkStart w:id="17" w:name="_Toc476581378"/>
      <w:r>
        <w:rPr>
          <w:rFonts w:ascii="Times New Roman" w:hAnsi="Times New Roman" w:eastAsia="黑体"/>
          <w:b w:val="0"/>
        </w:rPr>
        <w:t>5.2</w:t>
      </w:r>
      <w:r>
        <w:rPr>
          <w:rFonts w:hint="eastAsia" w:ascii="Times New Roman" w:hAnsi="Times New Roman" w:eastAsia="黑体"/>
          <w:b w:val="0"/>
        </w:rPr>
        <w:t>异常情况处理</w:t>
      </w:r>
      <w:bookmarkEnd w:id="17"/>
    </w:p>
    <w:p>
      <w:pPr>
        <w:ind w:firstLine="640"/>
      </w:pPr>
      <w:r>
        <w:rPr>
          <w:rFonts w:hint="eastAsia"/>
        </w:rPr>
        <w:t>企业需登录省监测平台（包括省级虚拟监测平台）查看企业上报单据的异常情况，并对异常进行反馈处理：</w:t>
      </w:r>
    </w:p>
    <w:p>
      <w:pPr>
        <w:ind w:firstLine="640"/>
      </w:pPr>
      <w:r>
        <w:rPr>
          <w:rFonts w:hint="eastAsia"/>
        </w:rPr>
        <w:t>（</w:t>
      </w:r>
      <w:r>
        <w:t>1</w:t>
      </w:r>
      <w:r>
        <w:rPr>
          <w:rFonts w:hint="eastAsia"/>
        </w:rPr>
        <w:t>）单据接入异常，通过监测平台查询具体接入异常原因（必填项未填、填报格式不正确），改正后重新上报此单据。</w:t>
      </w:r>
    </w:p>
    <w:p>
      <w:pPr>
        <w:ind w:firstLine="640"/>
      </w:pPr>
      <w:r>
        <w:rPr>
          <w:rFonts w:hint="eastAsia"/>
        </w:rPr>
        <w:t>（</w:t>
      </w:r>
      <w:r>
        <w:t>2</w:t>
      </w:r>
      <w:r>
        <w:rPr>
          <w:rFonts w:hint="eastAsia"/>
        </w:rPr>
        <w:t>）车辆资质异常（无道路运输证、证件过期、运政信息与证件信息不符），需立即补办证件、换发新证或更新运政系统信息。</w:t>
      </w:r>
    </w:p>
    <w:p>
      <w:pPr>
        <w:ind w:firstLine="640"/>
      </w:pPr>
      <w:r>
        <w:rPr>
          <w:rFonts w:hint="eastAsia"/>
        </w:rPr>
        <w:t>（</w:t>
      </w:r>
      <w:r>
        <w:t>3</w:t>
      </w:r>
      <w:r>
        <w:rPr>
          <w:rFonts w:hint="eastAsia"/>
        </w:rPr>
        <w:t>）如车辆入网异常，总质量</w:t>
      </w:r>
      <w:r>
        <w:t>12</w:t>
      </w:r>
      <w:r>
        <w:rPr>
          <w:rFonts w:hint="eastAsia"/>
        </w:rPr>
        <w:t>吨及以上的货运车辆需尽快接入全国道路货运车辆公共监管与服务平台。</w:t>
      </w:r>
    </w:p>
    <w:p>
      <w:pPr>
        <w:ind w:firstLine="640"/>
      </w:pPr>
      <w:r>
        <w:rPr>
          <w:rFonts w:hint="eastAsia"/>
        </w:rPr>
        <w:t>（</w:t>
      </w:r>
      <w:r>
        <w:t>4</w:t>
      </w:r>
      <w:r>
        <w:rPr>
          <w:rFonts w:hint="eastAsia"/>
        </w:rPr>
        <w:t>）车辆定位异常，需做好车辆运输过程的动态跟踪和监管。</w:t>
      </w:r>
    </w:p>
    <w:p>
      <w:pPr>
        <w:ind w:firstLine="640"/>
      </w:pPr>
      <w:r>
        <w:rPr>
          <w:rFonts w:hint="eastAsia"/>
        </w:rPr>
        <w:t>车辆资质异常、车辆入网异常、车辆定位异常三种情况进行整改后不需要重新上传对应单据，部监测平台将在推送异常情况提示后的次月最后一日对异常单据进行再次比对，若异常情况已正确处理，则该单据由异常状态更新为正常状态，相应月份的异常率也随之更新；若仍为异常，则纳入本省异常情况统计范围。</w:t>
      </w:r>
    </w:p>
    <w:p>
      <w:pPr>
        <w:ind w:firstLine="640"/>
      </w:pPr>
      <w:r>
        <w:rPr>
          <w:rFonts w:hint="eastAsia"/>
        </w:rPr>
        <w:t>各省交通运输主管部门需根据部、省两级监测平台（包括省级监测虚拟平台）的动态跟踪监测结果，全面掌握本省试点企业运行情况，同时切实履行考核和督导责任，督促试点企业做好异常情况的整改，并于每个月最后一日在省监测平台（包括省级虚拟监测平台）中对本省上个月的异常率进行确认，部将以各省交通运输主管部门确认后的数据为依据，研究分析全国无车承运试点运行情况。</w:t>
      </w:r>
    </w:p>
    <w:p>
      <w:pPr>
        <w:pStyle w:val="2"/>
        <w:numPr>
          <w:ilvl w:val="0"/>
          <w:numId w:val="0"/>
        </w:numPr>
        <w:overflowPunct w:val="0"/>
        <w:snapToGrid w:val="0"/>
        <w:spacing w:before="156" w:after="156" w:line="360" w:lineRule="auto"/>
        <w:jc w:val="both"/>
        <w:rPr>
          <w:b w:val="0"/>
          <w:sz w:val="32"/>
          <w:szCs w:val="32"/>
        </w:rPr>
      </w:pPr>
      <w:bookmarkStart w:id="18" w:name="_Toc476581379"/>
      <w:r>
        <w:rPr>
          <w:b w:val="0"/>
          <w:sz w:val="32"/>
          <w:szCs w:val="32"/>
        </w:rPr>
        <w:t xml:space="preserve">6 </w:t>
      </w:r>
      <w:r>
        <w:rPr>
          <w:rFonts w:hint="eastAsia"/>
          <w:b w:val="0"/>
          <w:sz w:val="32"/>
          <w:szCs w:val="32"/>
        </w:rPr>
        <w:t>相关服务</w:t>
      </w:r>
      <w:bookmarkEnd w:id="18"/>
    </w:p>
    <w:p>
      <w:pPr>
        <w:overflowPunct w:val="0"/>
        <w:snapToGrid w:val="0"/>
        <w:spacing w:before="156" w:beforeLines="50" w:after="156" w:afterLines="50" w:line="360" w:lineRule="auto"/>
        <w:ind w:firstLine="640"/>
        <w:rPr>
          <w:b/>
          <w:szCs w:val="32"/>
        </w:rPr>
      </w:pPr>
      <w:r>
        <w:rPr>
          <w:rFonts w:hint="eastAsia" w:ascii="Times New Roman" w:hAnsi="Times New Roman"/>
        </w:rPr>
        <w:t>为服务无车承运人信息平台建设，部监测平台提供了人、车、户资质信息以及总质量</w:t>
      </w:r>
      <w:r>
        <w:rPr>
          <w:rFonts w:ascii="Times New Roman" w:hAnsi="Times New Roman"/>
        </w:rPr>
        <w:t>12</w:t>
      </w:r>
      <w:r>
        <w:rPr>
          <w:rFonts w:hint="eastAsia" w:ascii="Times New Roman" w:hAnsi="Times New Roman"/>
        </w:rPr>
        <w:t>吨及以上货运车辆接入道路货运车辆公共平台的入网查询服务，为企业充分利用运政信息做好人、车、户基本信息核验以及车辆入网查询提供支持。具体服务接入参见：</w:t>
      </w:r>
      <w:r>
        <w:fldChar w:fldCharType="begin"/>
      </w:r>
      <w:r>
        <w:instrText xml:space="preserve"> HYPERLINK "http://www.logink.org/col/col1328/index.html" </w:instrText>
      </w:r>
      <w:r>
        <w:fldChar w:fldCharType="separate"/>
      </w:r>
      <w:r>
        <w:rPr>
          <w:rStyle w:val="24"/>
          <w:rFonts w:ascii="Times New Roman" w:hAnsi="Times New Roman"/>
        </w:rPr>
        <w:t>http://www.logink.org/col/col1328/index.html</w:t>
      </w:r>
      <w:r>
        <w:rPr>
          <w:rStyle w:val="24"/>
          <w:rFonts w:ascii="Times New Roman" w:hAnsi="Times New Roman"/>
        </w:rPr>
        <w:fldChar w:fldCharType="end"/>
      </w:r>
      <w:r>
        <w:rPr>
          <w:rFonts w:hint="eastAsia" w:ascii="Times New Roman" w:hAnsi="Times New Roman"/>
        </w:rPr>
        <w:t>。</w:t>
      </w:r>
    </w:p>
    <w:p>
      <w:pPr>
        <w:pStyle w:val="2"/>
        <w:numPr>
          <w:ilvl w:val="0"/>
          <w:numId w:val="0"/>
        </w:numPr>
        <w:overflowPunct w:val="0"/>
        <w:snapToGrid w:val="0"/>
        <w:spacing w:before="156" w:after="156" w:line="360" w:lineRule="auto"/>
        <w:jc w:val="both"/>
        <w:rPr>
          <w:b w:val="0"/>
          <w:sz w:val="32"/>
          <w:szCs w:val="32"/>
        </w:rPr>
      </w:pPr>
      <w:bookmarkStart w:id="19" w:name="_Toc476581380"/>
      <w:r>
        <w:rPr>
          <w:b w:val="0"/>
          <w:sz w:val="32"/>
          <w:szCs w:val="32"/>
        </w:rPr>
        <w:t xml:space="preserve">7 </w:t>
      </w:r>
      <w:r>
        <w:rPr>
          <w:rFonts w:hint="eastAsia"/>
          <w:b w:val="0"/>
          <w:sz w:val="32"/>
          <w:szCs w:val="32"/>
        </w:rPr>
        <w:t>技术支持</w:t>
      </w:r>
      <w:bookmarkEnd w:id="19"/>
    </w:p>
    <w:p>
      <w:pPr>
        <w:overflowPunct w:val="0"/>
        <w:snapToGrid w:val="0"/>
        <w:spacing w:before="156" w:beforeLines="50" w:after="156" w:afterLines="50" w:line="360" w:lineRule="auto"/>
        <w:ind w:firstLine="640"/>
        <w:rPr>
          <w:rFonts w:ascii="Times New Roman" w:hAnsi="Times New Roman"/>
        </w:rPr>
      </w:pPr>
      <w:r>
        <w:rPr>
          <w:rFonts w:hint="eastAsia" w:ascii="Times New Roman" w:hAnsi="Times New Roman"/>
        </w:rPr>
        <w:t>（</w:t>
      </w:r>
      <w:r>
        <w:rPr>
          <w:rFonts w:ascii="Times New Roman" w:hAnsi="Times New Roman"/>
        </w:rPr>
        <w:t>1</w:t>
      </w:r>
      <w:r>
        <w:rPr>
          <w:rFonts w:hint="eastAsia" w:ascii="Times New Roman" w:hAnsi="Times New Roman"/>
        </w:rPr>
        <w:t>）开放接入中心网址</w:t>
      </w:r>
    </w:p>
    <w:p>
      <w:pPr>
        <w:overflowPunct w:val="0"/>
        <w:snapToGrid w:val="0"/>
        <w:spacing w:before="156" w:beforeLines="50" w:after="156" w:afterLines="50" w:line="360" w:lineRule="auto"/>
        <w:ind w:firstLine="640"/>
        <w:rPr>
          <w:rFonts w:ascii="Times New Roman" w:hAnsi="Times New Roman"/>
        </w:rPr>
      </w:pPr>
      <w:r>
        <w:rPr>
          <w:rFonts w:hint="eastAsia" w:ascii="Times New Roman" w:hAnsi="Times New Roman"/>
        </w:rPr>
        <w:t>接入技术文档以及其他开发相关的问题，可访问平台开放接入中心：</w:t>
      </w:r>
      <w:r>
        <w:rPr>
          <w:rFonts w:ascii="Times New Roman" w:hAnsi="Times New Roman"/>
        </w:rPr>
        <w:t>http://www.logink.org/col/col5/index.html</w:t>
      </w:r>
    </w:p>
    <w:p>
      <w:pPr>
        <w:overflowPunct w:val="0"/>
        <w:snapToGrid w:val="0"/>
        <w:spacing w:before="156" w:beforeLines="50" w:after="156" w:afterLines="50" w:line="360" w:lineRule="auto"/>
        <w:ind w:firstLine="640"/>
        <w:rPr>
          <w:rFonts w:ascii="Times New Roman" w:hAnsi="Times New Roman"/>
        </w:rPr>
      </w:pPr>
      <w:r>
        <w:rPr>
          <w:rFonts w:hint="eastAsia" w:ascii="Times New Roman" w:hAnsi="Times New Roman"/>
        </w:rPr>
        <w:t>（</w:t>
      </w:r>
      <w:r>
        <w:rPr>
          <w:rFonts w:ascii="Times New Roman" w:hAnsi="Times New Roman"/>
        </w:rPr>
        <w:t>2</w:t>
      </w:r>
      <w:r>
        <w:rPr>
          <w:rFonts w:hint="eastAsia" w:ascii="Times New Roman" w:hAnsi="Times New Roman"/>
        </w:rPr>
        <w:t>）技术沟通</w:t>
      </w:r>
      <w:r>
        <w:rPr>
          <w:rFonts w:ascii="Times New Roman" w:hAnsi="Times New Roman"/>
        </w:rPr>
        <w:t>QQ</w:t>
      </w:r>
      <w:r>
        <w:rPr>
          <w:rFonts w:hint="eastAsia" w:ascii="Times New Roman" w:hAnsi="Times New Roman"/>
        </w:rPr>
        <w:t>群</w:t>
      </w:r>
    </w:p>
    <w:p>
      <w:pPr>
        <w:overflowPunct w:val="0"/>
        <w:snapToGrid w:val="0"/>
        <w:spacing w:before="156" w:beforeLines="50" w:after="156" w:afterLines="50" w:line="360" w:lineRule="auto"/>
        <w:ind w:firstLine="640"/>
        <w:rPr>
          <w:rFonts w:ascii="Times New Roman" w:hAnsi="Times New Roman"/>
        </w:rPr>
      </w:pPr>
      <w:r>
        <w:rPr>
          <w:rFonts w:hint="eastAsia" w:ascii="Times New Roman" w:hAnsi="Times New Roman"/>
        </w:rPr>
        <w:t>无车承运互联平台接入</w:t>
      </w:r>
      <w:r>
        <w:rPr>
          <w:rFonts w:ascii="Times New Roman" w:hAnsi="Times New Roman"/>
        </w:rPr>
        <w:t>QQ</w:t>
      </w:r>
      <w:r>
        <w:rPr>
          <w:rFonts w:hint="eastAsia" w:ascii="Times New Roman" w:hAnsi="Times New Roman"/>
        </w:rPr>
        <w:t>群号码为：</w:t>
      </w:r>
      <w:r>
        <w:rPr>
          <w:rFonts w:ascii="Times New Roman" w:hAnsi="Times New Roman"/>
        </w:rPr>
        <w:t>466573536</w:t>
      </w:r>
      <w:r>
        <w:rPr>
          <w:rFonts w:hint="eastAsia" w:ascii="Times New Roman" w:hAnsi="Times New Roman"/>
        </w:rPr>
        <w:t>。</w:t>
      </w:r>
    </w:p>
    <w:p>
      <w:pPr>
        <w:overflowPunct w:val="0"/>
        <w:snapToGrid w:val="0"/>
        <w:spacing w:before="156" w:beforeLines="50" w:after="156" w:afterLines="50" w:line="360" w:lineRule="auto"/>
        <w:ind w:firstLine="640"/>
        <w:rPr>
          <w:rFonts w:ascii="Times New Roman" w:hAnsi="Times New Roman"/>
        </w:rPr>
      </w:pPr>
      <w:r>
        <w:rPr>
          <w:rFonts w:hint="eastAsia" w:ascii="Times New Roman" w:hAnsi="Times New Roman"/>
        </w:rPr>
        <w:t>（</w:t>
      </w:r>
      <w:r>
        <w:rPr>
          <w:rFonts w:ascii="Times New Roman" w:hAnsi="Times New Roman"/>
        </w:rPr>
        <w:t>3</w:t>
      </w:r>
      <w:r>
        <w:rPr>
          <w:rFonts w:hint="eastAsia" w:ascii="Times New Roman" w:hAnsi="Times New Roman"/>
        </w:rPr>
        <w:t>）电子邮箱：</w:t>
      </w:r>
      <w:r>
        <w:rPr>
          <w:rFonts w:ascii="Times New Roman" w:hAnsi="Times New Roman"/>
        </w:rPr>
        <w:t>wccy@logink.org</w:t>
      </w:r>
    </w:p>
    <w:p>
      <w:pPr>
        <w:overflowPunct w:val="0"/>
        <w:snapToGrid w:val="0"/>
        <w:spacing w:before="156" w:beforeLines="50" w:after="156" w:afterLines="50" w:line="360" w:lineRule="auto"/>
        <w:ind w:firstLine="640"/>
        <w:rPr>
          <w:rFonts w:ascii="Times New Roman" w:hAnsi="Times New Roman"/>
        </w:rPr>
      </w:pPr>
      <w:r>
        <w:rPr>
          <w:rFonts w:hint="eastAsia" w:ascii="Times New Roman" w:hAnsi="Times New Roman"/>
        </w:rPr>
        <w:t>联系电话：</w:t>
      </w:r>
      <w:r>
        <w:rPr>
          <w:rFonts w:ascii="Times New Roman" w:hAnsi="Times New Roman"/>
        </w:rPr>
        <w:t>0571-87850256</w:t>
      </w:r>
    </w:p>
    <w:bookmarkEnd w:id="1"/>
    <w:bookmarkEnd w:id="2"/>
    <w:bookmarkEnd w:id="3"/>
    <w:p>
      <w:pPr>
        <w:overflowPunct w:val="0"/>
        <w:snapToGrid w:val="0"/>
        <w:spacing w:before="156" w:beforeLines="50" w:after="156" w:afterLines="50" w:line="360" w:lineRule="auto"/>
        <w:ind w:firstLine="640"/>
        <w:rPr>
          <w:rFonts w:ascii="Times New Roman" w:hAnsi="Times New Roman"/>
        </w:rPr>
      </w:pPr>
      <w:bookmarkStart w:id="20" w:name="_Toc470536702"/>
      <w:bookmarkEnd w:id="20"/>
      <w:bookmarkStart w:id="21" w:name="_Toc470536703"/>
      <w:bookmarkEnd w:id="21"/>
      <w:r>
        <w:rPr>
          <w:rFonts w:hint="eastAsia" w:ascii="Times New Roman" w:hAnsi="Times New Roman"/>
        </w:rPr>
        <w:t>联系电话：</w:t>
      </w:r>
      <w:r>
        <w:rPr>
          <w:rFonts w:ascii="Times New Roman" w:hAnsi="Times New Roman"/>
        </w:rPr>
        <w:t>0571-87850256</w:t>
      </w:r>
    </w:p>
    <w:p>
      <w:pPr>
        <w:overflowPunct w:val="0"/>
        <w:snapToGrid w:val="0"/>
        <w:spacing w:before="156" w:beforeLines="50" w:after="156" w:afterLines="50" w:line="360" w:lineRule="auto"/>
        <w:ind w:firstLine="0" w:firstLineChars="0"/>
        <w:rPr>
          <w:rFonts w:ascii="Times New Roman" w:hAnsi="Times New Roman"/>
          <w:b/>
        </w:rPr>
        <w:sectPr>
          <w:pgSz w:w="11906" w:h="16838"/>
          <w:pgMar w:top="1418" w:right="1418" w:bottom="1418" w:left="1701" w:header="992" w:footer="992" w:gutter="0"/>
          <w:cols w:space="425" w:num="1"/>
          <w:docGrid w:type="linesAndChars" w:linePitch="312" w:charSpace="0"/>
        </w:sectPr>
      </w:pPr>
    </w:p>
    <w:p>
      <w:pPr>
        <w:overflowPunct w:val="0"/>
        <w:snapToGrid w:val="0"/>
        <w:spacing w:before="156" w:beforeLines="50" w:after="156" w:afterLines="50" w:line="360" w:lineRule="auto"/>
        <w:ind w:firstLine="0" w:firstLineChars="0"/>
        <w:rPr>
          <w:rFonts w:ascii="Times New Roman" w:hAnsi="Times New Roman"/>
          <w:b/>
        </w:rPr>
      </w:pPr>
      <w:r>
        <w:rPr>
          <w:rFonts w:hint="eastAsia" w:ascii="方正小标宋简体" w:hAnsi="Times New Roman" w:eastAsia="方正小标宋简体"/>
          <w:b/>
        </w:rPr>
        <w:t>附件</w:t>
      </w:r>
      <w:r>
        <w:rPr>
          <w:rFonts w:ascii="Times New Roman" w:hAnsi="Times New Roman"/>
          <w:b/>
        </w:rPr>
        <w:t>3</w:t>
      </w:r>
    </w:p>
    <w:p>
      <w:pPr>
        <w:overflowPunct w:val="0"/>
        <w:snapToGrid w:val="0"/>
        <w:spacing w:before="156" w:beforeLines="50" w:after="156" w:afterLines="50" w:line="360" w:lineRule="auto"/>
        <w:ind w:firstLine="0" w:firstLineChars="0"/>
        <w:jc w:val="center"/>
        <w:rPr>
          <w:rFonts w:ascii="黑体" w:hAnsi="黑体" w:eastAsia="黑体"/>
        </w:rPr>
      </w:pPr>
      <w:r>
        <w:rPr>
          <w:rFonts w:hint="eastAsia" w:ascii="黑体" w:hAnsi="黑体" w:eastAsia="黑体"/>
        </w:rPr>
        <w:t>无车承运试点运行监测分析报告编写指南</w:t>
      </w:r>
    </w:p>
    <w:p>
      <w:pPr>
        <w:overflowPunct w:val="0"/>
        <w:snapToGrid w:val="0"/>
        <w:spacing w:line="360" w:lineRule="auto"/>
        <w:ind w:firstLine="640"/>
        <w:jc w:val="both"/>
        <w:rPr>
          <w:rFonts w:ascii="Times New Roman" w:hAnsi="Times New Roman"/>
        </w:rPr>
      </w:pPr>
      <w:r>
        <w:rPr>
          <w:rFonts w:hint="eastAsia" w:ascii="Times New Roman" w:hAnsi="Times New Roman"/>
        </w:rPr>
        <w:t>无车承运试点运行监测分析应围绕试点工作整体目标、主要任务和工作要求，采取实地调查、材料报送、数据互联交换等形式，加强对试点企业运营管理相关信息采集、跟踪、整理和归纳总结，重点分析试点运行情况、工作成效、模式与制度创新等方面，主要内容包括：</w:t>
      </w:r>
    </w:p>
    <w:p>
      <w:pPr>
        <w:overflowPunct w:val="0"/>
        <w:snapToGrid w:val="0"/>
        <w:spacing w:line="360" w:lineRule="auto"/>
        <w:ind w:firstLine="643"/>
        <w:jc w:val="both"/>
        <w:rPr>
          <w:rFonts w:ascii="楷体_GB2312" w:hAnsi="Times New Roman" w:eastAsia="楷体_GB2312"/>
          <w:b/>
        </w:rPr>
      </w:pPr>
      <w:r>
        <w:rPr>
          <w:rFonts w:hint="eastAsia" w:ascii="楷体_GB2312" w:hAnsi="Times New Roman" w:eastAsia="楷体_GB2312"/>
          <w:b/>
        </w:rPr>
        <w:t>（一）试点企业总体情况</w:t>
      </w:r>
    </w:p>
    <w:p>
      <w:pPr>
        <w:overflowPunct w:val="0"/>
        <w:snapToGrid w:val="0"/>
        <w:spacing w:line="360" w:lineRule="auto"/>
        <w:ind w:firstLine="640"/>
        <w:jc w:val="both"/>
        <w:rPr>
          <w:rFonts w:ascii="Times New Roman" w:hAnsi="Times New Roman"/>
        </w:rPr>
      </w:pPr>
      <w:r>
        <w:rPr>
          <w:rFonts w:hint="eastAsia" w:ascii="Times New Roman" w:hAnsi="Times New Roman"/>
        </w:rPr>
        <w:t>主要分析内容及支撑数据：</w:t>
      </w:r>
    </w:p>
    <w:p>
      <w:pPr>
        <w:overflowPunct w:val="0"/>
        <w:snapToGrid w:val="0"/>
        <w:spacing w:line="360" w:lineRule="auto"/>
        <w:ind w:firstLine="640"/>
        <w:jc w:val="both"/>
        <w:rPr>
          <w:rFonts w:ascii="Times New Roman" w:hAnsi="Times New Roman"/>
        </w:rPr>
      </w:pPr>
      <w:r>
        <w:rPr>
          <w:rFonts w:hint="eastAsia" w:ascii="Times New Roman" w:hAnsi="Times New Roman"/>
        </w:rPr>
        <w:t>——无车承运人试点企业情况，包括试点企业数量，企业类别和业务类型结构，空间地理分布、运营组织模式分布，企业经营规模、完成货运量等；</w:t>
      </w:r>
    </w:p>
    <w:p>
      <w:pPr>
        <w:overflowPunct w:val="0"/>
        <w:snapToGrid w:val="0"/>
        <w:spacing w:line="360" w:lineRule="auto"/>
        <w:ind w:firstLine="640"/>
        <w:jc w:val="both"/>
        <w:rPr>
          <w:rFonts w:ascii="Times New Roman" w:hAnsi="Times New Roman"/>
        </w:rPr>
      </w:pPr>
      <w:r>
        <w:rPr>
          <w:rFonts w:hint="eastAsia" w:ascii="Times New Roman" w:hAnsi="Times New Roman"/>
        </w:rPr>
        <w:t>——签约注册实际承运人情况，包括签约总量（含企业和个体业户），签约企业资质情况及业务类型结构，签约合作内容、服务网络情况，与签约方信息系统互联等。</w:t>
      </w:r>
    </w:p>
    <w:p>
      <w:pPr>
        <w:overflowPunct w:val="0"/>
        <w:snapToGrid w:val="0"/>
        <w:spacing w:line="360" w:lineRule="auto"/>
        <w:ind w:firstLine="643"/>
        <w:jc w:val="both"/>
        <w:rPr>
          <w:rFonts w:ascii="楷体_GB2312" w:hAnsi="Times New Roman" w:eastAsia="楷体_GB2312"/>
          <w:b/>
        </w:rPr>
      </w:pPr>
      <w:r>
        <w:rPr>
          <w:rFonts w:hint="eastAsia" w:ascii="楷体_GB2312" w:hAnsi="Times New Roman" w:eastAsia="楷体_GB2312"/>
          <w:b/>
        </w:rPr>
        <w:t>（二）试点运行情况分析</w:t>
      </w:r>
    </w:p>
    <w:p>
      <w:pPr>
        <w:overflowPunct w:val="0"/>
        <w:snapToGrid w:val="0"/>
        <w:spacing w:line="360" w:lineRule="auto"/>
        <w:ind w:firstLine="640"/>
        <w:jc w:val="both"/>
        <w:rPr>
          <w:rFonts w:ascii="Times New Roman" w:hAnsi="Times New Roman"/>
        </w:rPr>
      </w:pPr>
      <w:r>
        <w:rPr>
          <w:rFonts w:ascii="Times New Roman" w:hAnsi="Times New Roman"/>
        </w:rPr>
        <w:t>1.</w:t>
      </w:r>
      <w:r>
        <w:rPr>
          <w:rFonts w:hint="eastAsia" w:ascii="Times New Roman" w:hAnsi="Times New Roman"/>
        </w:rPr>
        <w:t>运力及其运行情况分析</w:t>
      </w:r>
    </w:p>
    <w:p>
      <w:pPr>
        <w:overflowPunct w:val="0"/>
        <w:snapToGrid w:val="0"/>
        <w:spacing w:line="360" w:lineRule="auto"/>
        <w:ind w:firstLine="640"/>
        <w:jc w:val="both"/>
        <w:rPr>
          <w:rFonts w:ascii="Times New Roman" w:hAnsi="Times New Roman"/>
        </w:rPr>
      </w:pPr>
      <w:r>
        <w:rPr>
          <w:rFonts w:hint="eastAsia" w:ascii="Times New Roman" w:hAnsi="Times New Roman"/>
        </w:rPr>
        <w:t>主要分析内容及支撑数据：</w:t>
      </w:r>
      <w:r>
        <w:rPr>
          <w:rFonts w:ascii="Times New Roman" w:hAnsi="Times New Roman"/>
        </w:rPr>
        <w:br w:type="textWrapping"/>
      </w:r>
      <w:r>
        <w:rPr>
          <w:rFonts w:ascii="Times New Roman" w:hAnsi="Times New Roman"/>
        </w:rPr>
        <w:t xml:space="preserve">    </w:t>
      </w:r>
      <w:r>
        <w:rPr>
          <w:rFonts w:hint="eastAsia" w:ascii="Times New Roman" w:hAnsi="Times New Roman"/>
        </w:rPr>
        <w:t>——整合运力规模；</w:t>
      </w:r>
    </w:p>
    <w:p>
      <w:pPr>
        <w:overflowPunct w:val="0"/>
        <w:snapToGrid w:val="0"/>
        <w:spacing w:line="360" w:lineRule="auto"/>
        <w:ind w:firstLine="640"/>
        <w:jc w:val="both"/>
        <w:rPr>
          <w:rFonts w:ascii="Times New Roman" w:hAnsi="Times New Roman"/>
        </w:rPr>
      </w:pPr>
      <w:r>
        <w:rPr>
          <w:rFonts w:hint="eastAsia" w:ascii="Times New Roman" w:hAnsi="Times New Roman"/>
        </w:rPr>
        <w:t>——运力车型分布；</w:t>
      </w:r>
    </w:p>
    <w:p>
      <w:pPr>
        <w:overflowPunct w:val="0"/>
        <w:snapToGrid w:val="0"/>
        <w:spacing w:line="360" w:lineRule="auto"/>
        <w:ind w:firstLine="640"/>
        <w:jc w:val="both"/>
        <w:rPr>
          <w:rFonts w:ascii="Times New Roman" w:hAnsi="Times New Roman"/>
        </w:rPr>
      </w:pPr>
      <w:r>
        <w:rPr>
          <w:rFonts w:hint="eastAsia" w:ascii="Times New Roman" w:hAnsi="Times New Roman"/>
        </w:rPr>
        <w:t>——按运力注册地划分的运力区域分布；</w:t>
      </w:r>
    </w:p>
    <w:p>
      <w:pPr>
        <w:overflowPunct w:val="0"/>
        <w:snapToGrid w:val="0"/>
        <w:spacing w:line="360" w:lineRule="auto"/>
        <w:ind w:firstLine="640"/>
        <w:jc w:val="both"/>
        <w:rPr>
          <w:rFonts w:ascii="Times New Roman" w:hAnsi="Times New Roman"/>
        </w:rPr>
      </w:pPr>
      <w:r>
        <w:rPr>
          <w:rFonts w:hint="eastAsia" w:ascii="Times New Roman" w:hAnsi="Times New Roman"/>
        </w:rPr>
        <w:t>——运力交易活跃度情况。</w:t>
      </w:r>
    </w:p>
    <w:p>
      <w:pPr>
        <w:overflowPunct w:val="0"/>
        <w:snapToGrid w:val="0"/>
        <w:spacing w:line="360" w:lineRule="auto"/>
        <w:ind w:firstLine="640"/>
        <w:jc w:val="both"/>
        <w:rPr>
          <w:rFonts w:ascii="Times New Roman" w:hAnsi="Times New Roman"/>
        </w:rPr>
      </w:pPr>
      <w:r>
        <w:rPr>
          <w:rFonts w:ascii="Times New Roman" w:hAnsi="Times New Roman"/>
        </w:rPr>
        <w:t>2.</w:t>
      </w:r>
      <w:r>
        <w:rPr>
          <w:rFonts w:hint="eastAsia" w:ascii="Times New Roman" w:hAnsi="Times New Roman"/>
        </w:rPr>
        <w:t>货物运输特点分析</w:t>
      </w:r>
    </w:p>
    <w:p>
      <w:pPr>
        <w:overflowPunct w:val="0"/>
        <w:snapToGrid w:val="0"/>
        <w:spacing w:line="360" w:lineRule="auto"/>
        <w:ind w:firstLine="640"/>
        <w:jc w:val="both"/>
        <w:rPr>
          <w:rFonts w:ascii="Times New Roman" w:hAnsi="Times New Roman"/>
        </w:rPr>
      </w:pPr>
      <w:r>
        <w:rPr>
          <w:rFonts w:hint="eastAsia" w:ascii="Times New Roman" w:hAnsi="Times New Roman"/>
        </w:rPr>
        <w:t>主要分析内容及支撑数据：</w:t>
      </w:r>
    </w:p>
    <w:p>
      <w:pPr>
        <w:overflowPunct w:val="0"/>
        <w:snapToGrid w:val="0"/>
        <w:spacing w:line="360" w:lineRule="auto"/>
        <w:ind w:firstLine="640"/>
        <w:jc w:val="both"/>
        <w:rPr>
          <w:rFonts w:ascii="Times New Roman" w:hAnsi="Times New Roman"/>
        </w:rPr>
      </w:pPr>
      <w:r>
        <w:rPr>
          <w:rFonts w:hint="eastAsia" w:ascii="Times New Roman" w:hAnsi="Times New Roman"/>
        </w:rPr>
        <w:t>——总交易额、承担货运量同环比变化情况；</w:t>
      </w:r>
    </w:p>
    <w:p>
      <w:pPr>
        <w:overflowPunct w:val="0"/>
        <w:snapToGrid w:val="0"/>
        <w:spacing w:line="360" w:lineRule="auto"/>
        <w:ind w:firstLine="640"/>
        <w:jc w:val="both"/>
        <w:rPr>
          <w:rFonts w:ascii="Times New Roman" w:hAnsi="Times New Roman"/>
        </w:rPr>
      </w:pPr>
      <w:r>
        <w:rPr>
          <w:rFonts w:hint="eastAsia" w:ascii="Times New Roman" w:hAnsi="Times New Roman"/>
        </w:rPr>
        <w:t>——运输货类结构分析；</w:t>
      </w:r>
      <w:r>
        <w:rPr>
          <w:rFonts w:ascii="Times New Roman" w:hAnsi="Times New Roman"/>
        </w:rPr>
        <w:br w:type="textWrapping"/>
      </w:r>
      <w:r>
        <w:rPr>
          <w:rFonts w:ascii="Times New Roman" w:hAnsi="Times New Roman"/>
        </w:rPr>
        <w:t xml:space="preserve">    </w:t>
      </w:r>
      <w:r>
        <w:rPr>
          <w:rFonts w:hint="eastAsia" w:ascii="Times New Roman" w:hAnsi="Times New Roman"/>
        </w:rPr>
        <w:t>——平均运距分析及变化情况；</w:t>
      </w:r>
    </w:p>
    <w:p>
      <w:pPr>
        <w:overflowPunct w:val="0"/>
        <w:snapToGrid w:val="0"/>
        <w:spacing w:line="360" w:lineRule="auto"/>
        <w:ind w:firstLine="640"/>
        <w:jc w:val="both"/>
        <w:rPr>
          <w:rFonts w:ascii="Times New Roman" w:hAnsi="Times New Roman"/>
        </w:rPr>
      </w:pPr>
      <w:r>
        <w:rPr>
          <w:rFonts w:hint="eastAsia" w:ascii="Times New Roman" w:hAnsi="Times New Roman"/>
        </w:rPr>
        <w:t>——货运量跨省和省内起讫点（</w:t>
      </w:r>
      <w:r>
        <w:rPr>
          <w:rFonts w:ascii="Times New Roman" w:hAnsi="Times New Roman"/>
        </w:rPr>
        <w:t>OD</w:t>
      </w:r>
      <w:r>
        <w:rPr>
          <w:rFonts w:hint="eastAsia" w:ascii="Times New Roman" w:hAnsi="Times New Roman"/>
        </w:rPr>
        <w:t>）分析；</w:t>
      </w:r>
    </w:p>
    <w:p>
      <w:pPr>
        <w:overflowPunct w:val="0"/>
        <w:snapToGrid w:val="0"/>
        <w:spacing w:line="360" w:lineRule="auto"/>
        <w:ind w:firstLine="640"/>
        <w:jc w:val="both"/>
        <w:rPr>
          <w:rFonts w:ascii="Times New Roman" w:hAnsi="Times New Roman"/>
        </w:rPr>
      </w:pPr>
      <w:r>
        <w:rPr>
          <w:rFonts w:hint="eastAsia" w:ascii="Times New Roman" w:hAnsi="Times New Roman"/>
        </w:rPr>
        <w:t>——分省（市、区）交易活跃度（主要业务为省内范围的，可分析省内各地市间交易活跃度）。</w:t>
      </w:r>
    </w:p>
    <w:p>
      <w:pPr>
        <w:overflowPunct w:val="0"/>
        <w:snapToGrid w:val="0"/>
        <w:spacing w:line="360" w:lineRule="auto"/>
        <w:ind w:firstLine="643"/>
        <w:jc w:val="both"/>
        <w:rPr>
          <w:rFonts w:ascii="Times New Roman" w:hAnsi="Times New Roman"/>
          <w:b/>
        </w:rPr>
      </w:pPr>
      <w:r>
        <w:rPr>
          <w:rFonts w:hint="eastAsia" w:ascii="Times New Roman" w:hAnsi="Times New Roman"/>
          <w:b/>
        </w:rPr>
        <w:t>（三）试点工作成效分析</w:t>
      </w:r>
    </w:p>
    <w:p>
      <w:pPr>
        <w:overflowPunct w:val="0"/>
        <w:snapToGrid w:val="0"/>
        <w:spacing w:line="360" w:lineRule="auto"/>
        <w:ind w:firstLine="640"/>
        <w:jc w:val="both"/>
        <w:rPr>
          <w:rFonts w:ascii="Times New Roman" w:hAnsi="Times New Roman"/>
        </w:rPr>
      </w:pPr>
      <w:r>
        <w:rPr>
          <w:rFonts w:hint="eastAsia" w:ascii="Times New Roman" w:hAnsi="Times New Roman"/>
        </w:rPr>
        <w:t>主要分析内容及支撑数据：</w:t>
      </w:r>
    </w:p>
    <w:p>
      <w:pPr>
        <w:overflowPunct w:val="0"/>
        <w:snapToGrid w:val="0"/>
        <w:spacing w:line="360" w:lineRule="auto"/>
        <w:ind w:firstLine="640"/>
        <w:jc w:val="both"/>
        <w:rPr>
          <w:rFonts w:ascii="Times New Roman" w:hAnsi="Times New Roman"/>
        </w:rPr>
      </w:pPr>
      <w:r>
        <w:rPr>
          <w:rFonts w:hint="eastAsia" w:ascii="Times New Roman" w:hAnsi="Times New Roman"/>
        </w:rPr>
        <w:t>——推动物流降本增效：重点分析与试点企业签订全日制、长时间合作协议的运输车辆单车月平均完成运输量、周转量、平均等货时间、里程利用率、平均运价等指标，与全行业平均水平进行对比，分析试点工作对提升组织效率、降低物流成本、促进节能减排（减少车辆空驶而降低的能源消耗和污染排放）的影响。</w:t>
      </w:r>
    </w:p>
    <w:p>
      <w:pPr>
        <w:overflowPunct w:val="0"/>
        <w:snapToGrid w:val="0"/>
        <w:spacing w:line="360" w:lineRule="auto"/>
        <w:ind w:firstLine="640"/>
        <w:jc w:val="both"/>
        <w:rPr>
          <w:rFonts w:ascii="Times New Roman" w:hAnsi="Times New Roman"/>
        </w:rPr>
      </w:pPr>
      <w:r>
        <w:rPr>
          <w:rFonts w:ascii="Times New Roman" w:hAnsi="Times New Roman"/>
        </w:rPr>
        <w:t>——</w:t>
      </w:r>
      <w:r>
        <w:rPr>
          <w:rFonts w:hint="eastAsia" w:ascii="Times New Roman" w:hAnsi="Times New Roman"/>
        </w:rPr>
        <w:t>创新运输组织模式：分析企业在采用甩挂运输、多式联运等先进运输组织方式，采用集装箱和托盘等模块化运输，以及采用定位跟踪、电子运单、网络结算、大数据分析等现代信息技术手段带来的效率提升、成本降低和节能减排。</w:t>
      </w:r>
    </w:p>
    <w:p>
      <w:pPr>
        <w:overflowPunct w:val="0"/>
        <w:snapToGrid w:val="0"/>
        <w:spacing w:line="360" w:lineRule="auto"/>
        <w:ind w:firstLine="640"/>
        <w:jc w:val="both"/>
        <w:rPr>
          <w:rFonts w:ascii="Times New Roman" w:hAnsi="Times New Roman"/>
        </w:rPr>
      </w:pPr>
      <w:r>
        <w:rPr>
          <w:rFonts w:hint="eastAsia" w:ascii="Times New Roman" w:hAnsi="Times New Roman"/>
        </w:rPr>
        <w:t>——促进物流资源整合：围绕平台完成的交易量、交易额、整合货车资源占全社会总量的比例等指标，分析物流资源整合成效。</w:t>
      </w:r>
    </w:p>
    <w:p>
      <w:pPr>
        <w:overflowPunct w:val="0"/>
        <w:snapToGrid w:val="0"/>
        <w:spacing w:line="360" w:lineRule="auto"/>
        <w:ind w:firstLine="640"/>
        <w:jc w:val="both"/>
        <w:rPr>
          <w:rFonts w:ascii="Times New Roman" w:hAnsi="Times New Roman"/>
        </w:rPr>
      </w:pPr>
      <w:r>
        <w:rPr>
          <w:rFonts w:hint="eastAsia" w:ascii="Times New Roman" w:hAnsi="Times New Roman"/>
        </w:rPr>
        <w:t>——规范市场主体行为：分析汇总平台对实际承运人的考核评价、信用监督、质量管控、保险理赔等方面的技术和管理创新。</w:t>
      </w:r>
    </w:p>
    <w:p>
      <w:pPr>
        <w:overflowPunct w:val="0"/>
        <w:snapToGrid w:val="0"/>
        <w:spacing w:line="360" w:lineRule="auto"/>
        <w:ind w:firstLine="640"/>
        <w:jc w:val="both"/>
        <w:rPr>
          <w:rFonts w:ascii="Times New Roman" w:hAnsi="Times New Roman"/>
        </w:rPr>
      </w:pPr>
      <w:r>
        <w:rPr>
          <w:rFonts w:hint="eastAsia" w:ascii="Times New Roman" w:hAnsi="Times New Roman"/>
        </w:rPr>
        <w:t>——提升物流服务水平：分析汇总平台在提供供应链管理、优化客户管理流程、提高仓、运、配一体化水平、拓展跨区域渠道网络、提供物流增值服务等方面的创新，以及实际的效果。</w:t>
      </w:r>
    </w:p>
    <w:p>
      <w:pPr>
        <w:overflowPunct w:val="0"/>
        <w:snapToGrid w:val="0"/>
        <w:spacing w:line="360" w:lineRule="auto"/>
        <w:ind w:firstLine="643"/>
        <w:jc w:val="both"/>
        <w:rPr>
          <w:rFonts w:ascii="楷体_GB2312" w:hAnsi="Times New Roman" w:eastAsia="楷体_GB2312"/>
          <w:b/>
        </w:rPr>
      </w:pPr>
      <w:r>
        <w:rPr>
          <w:rFonts w:hint="eastAsia" w:ascii="楷体_GB2312" w:hAnsi="Times New Roman" w:eastAsia="楷体_GB2312"/>
          <w:b/>
        </w:rPr>
        <w:t>（四）管理制度创新情况</w:t>
      </w:r>
    </w:p>
    <w:p>
      <w:pPr>
        <w:overflowPunct w:val="0"/>
        <w:snapToGrid w:val="0"/>
        <w:spacing w:line="360" w:lineRule="auto"/>
        <w:ind w:firstLine="640"/>
        <w:jc w:val="both"/>
        <w:rPr>
          <w:rFonts w:ascii="Times New Roman" w:hAnsi="Times New Roman"/>
        </w:rPr>
      </w:pPr>
      <w:r>
        <w:rPr>
          <w:rFonts w:hint="eastAsia" w:ascii="Times New Roman" w:hAnsi="Times New Roman"/>
        </w:rPr>
        <w:t>——无车承运人税收政策落实情况。各地落实和创新无车承运人税收政策，协调解决增值税开票资格、进项抵扣、额度监管等实际问题，规范企业纳税行为，建立健全交通运输和税务部门间业务联动、政策协同等方面的相关做法。</w:t>
      </w:r>
    </w:p>
    <w:p>
      <w:pPr>
        <w:overflowPunct w:val="0"/>
        <w:snapToGrid w:val="0"/>
        <w:spacing w:line="360" w:lineRule="auto"/>
        <w:ind w:firstLine="640"/>
        <w:jc w:val="both"/>
        <w:rPr>
          <w:rFonts w:ascii="Times New Roman" w:hAnsi="Times New Roman"/>
        </w:rPr>
      </w:pPr>
      <w:r>
        <w:rPr>
          <w:rFonts w:hint="eastAsia" w:ascii="Times New Roman" w:hAnsi="Times New Roman"/>
        </w:rPr>
        <w:t>——探索创新管理制度情况。总结各地在探索无车承运人市场准入和退出、运营管理等相关制度，以及完善企业经营服务标准规范等方面的创新。</w:t>
      </w:r>
    </w:p>
    <w:p>
      <w:pPr>
        <w:overflowPunct w:val="0"/>
        <w:snapToGrid w:val="0"/>
        <w:spacing w:line="360" w:lineRule="auto"/>
        <w:ind w:firstLine="640"/>
        <w:jc w:val="both"/>
        <w:rPr>
          <w:rFonts w:ascii="Times New Roman" w:hAnsi="Times New Roman"/>
        </w:rPr>
      </w:pPr>
      <w:r>
        <w:rPr>
          <w:rFonts w:hint="eastAsia" w:ascii="Times New Roman" w:hAnsi="Times New Roman"/>
        </w:rPr>
        <w:t>——完善配套支持政策情况。梳理各地在鼓励试点企业创新发展、转型升级等方面制定出台的简化审批流程、改进公共服务、加大人才培养、减免通行费等配套支持政策和举措。</w:t>
      </w:r>
    </w:p>
    <w:p>
      <w:pPr>
        <w:overflowPunct w:val="0"/>
        <w:snapToGrid w:val="0"/>
        <w:spacing w:line="360" w:lineRule="auto"/>
        <w:ind w:firstLine="643"/>
        <w:jc w:val="both"/>
        <w:rPr>
          <w:rFonts w:ascii="楷体_GB2312" w:hAnsi="Times New Roman" w:eastAsia="楷体_GB2312"/>
          <w:b/>
        </w:rPr>
      </w:pPr>
      <w:r>
        <w:rPr>
          <w:rFonts w:hint="eastAsia" w:ascii="楷体_GB2312" w:hAnsi="Times New Roman" w:eastAsia="楷体_GB2312"/>
          <w:b/>
        </w:rPr>
        <w:t>（五）运行监测异常发生及处理情况</w:t>
      </w:r>
    </w:p>
    <w:p>
      <w:pPr>
        <w:overflowPunct w:val="0"/>
        <w:snapToGrid w:val="0"/>
        <w:spacing w:line="360" w:lineRule="auto"/>
        <w:ind w:firstLine="640"/>
        <w:jc w:val="both"/>
        <w:rPr>
          <w:rFonts w:ascii="Times New Roman" w:hAnsi="Times New Roman"/>
        </w:rPr>
      </w:pPr>
      <w:r>
        <w:rPr>
          <w:rFonts w:hint="eastAsia" w:ascii="Times New Roman" w:hAnsi="Times New Roman"/>
        </w:rPr>
        <w:t>结合运行监测平台预警信息，通报试点企业异常运行单证发生情况，交通运输主管部门对异常单证的调查、分析和反馈情况，提出的整改措施要求及试点企业整改落实情况，研究分析试点运行中存在的主要问题和原因。</w:t>
      </w:r>
    </w:p>
    <w:p>
      <w:pPr>
        <w:overflowPunct w:val="0"/>
        <w:snapToGrid w:val="0"/>
        <w:spacing w:line="360" w:lineRule="auto"/>
        <w:ind w:firstLine="643"/>
        <w:jc w:val="both"/>
        <w:rPr>
          <w:rFonts w:ascii="楷体_GB2312" w:hAnsi="Times New Roman" w:eastAsia="楷体_GB2312"/>
          <w:b/>
        </w:rPr>
      </w:pPr>
      <w:r>
        <w:rPr>
          <w:rFonts w:hint="eastAsia" w:ascii="楷体_GB2312" w:hAnsi="Times New Roman" w:eastAsia="楷体_GB2312"/>
          <w:b/>
        </w:rPr>
        <w:t>（六）下一步工作建议</w:t>
      </w:r>
    </w:p>
    <w:p>
      <w:pPr>
        <w:overflowPunct w:val="0"/>
        <w:snapToGrid w:val="0"/>
        <w:spacing w:line="360" w:lineRule="auto"/>
        <w:ind w:firstLine="640"/>
        <w:jc w:val="both"/>
        <w:rPr>
          <w:rFonts w:ascii="Times New Roman" w:hAnsi="Times New Roman"/>
        </w:rPr>
      </w:pPr>
      <w:r>
        <w:rPr>
          <w:rFonts w:hint="eastAsia" w:ascii="Times New Roman" w:hAnsi="Times New Roman"/>
        </w:rPr>
        <w:t>结合本地区工作实际和试点企业合理诉求，从市场需求、政策环境、管理制度等角度分析试点运行过程中存在的问题，提出下一阶段推进和完善试点工作的相关建议。</w:t>
      </w:r>
    </w:p>
    <w:p>
      <w:pPr>
        <w:overflowPunct w:val="0"/>
        <w:snapToGrid w:val="0"/>
        <w:spacing w:before="156" w:beforeLines="50" w:after="156" w:afterLines="50" w:line="360" w:lineRule="auto"/>
        <w:ind w:firstLine="0" w:firstLineChars="0"/>
        <w:rPr>
          <w:rFonts w:ascii="Times New Roman" w:hAnsi="Times New Roman"/>
        </w:rPr>
      </w:pPr>
    </w:p>
    <w:sectPr>
      <w:pgSz w:w="11906" w:h="16838"/>
      <w:pgMar w:top="1418" w:right="1418" w:bottom="1418" w:left="1701" w:header="992"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360" w:firstLine="0" w:firstLineChars="0"/>
      <w:jc w:val="center"/>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jc w:val="center"/>
      <w:rPr>
        <w:rFonts w:ascii="Times New Roman" w:hAnsi="Times New Roman" w:cs="Times New Roman"/>
        <w:sz w:val="28"/>
      </w:rPr>
    </w:pPr>
    <w:r>
      <w:rPr>
        <w:rFonts w:ascii="Times New Roman" w:hAnsi="Times New Roman" w:cs="Times New Roman"/>
        <w:sz w:val="28"/>
      </w:rPr>
      <w:fldChar w:fldCharType="begin"/>
    </w:r>
    <w:r>
      <w:rPr>
        <w:rFonts w:ascii="Times New Roman" w:hAnsi="Times New Roman" w:cs="Times New Roman"/>
        <w:sz w:val="28"/>
      </w:rPr>
      <w:instrText xml:space="preserve">PAGE   \* MERGEFORMAT</w:instrText>
    </w:r>
    <w:r>
      <w:rPr>
        <w:rFonts w:ascii="Times New Roman" w:hAnsi="Times New Roman" w:cs="Times New Roman"/>
        <w:sz w:val="28"/>
      </w:rPr>
      <w:fldChar w:fldCharType="separate"/>
    </w:r>
    <w:r>
      <w:rPr>
        <w:rFonts w:ascii="Times New Roman" w:hAnsi="Times New Roman" w:cs="Times New Roman"/>
        <w:sz w:val="28"/>
        <w:lang w:val="zh-CN"/>
      </w:rPr>
      <w:t>1</w:t>
    </w:r>
    <w:r>
      <w:rPr>
        <w:rFonts w:ascii="Times New Roman" w:hAnsi="Times New Roman" w:cs="Times New Roman"/>
        <w:sz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5708D4"/>
    <w:multiLevelType w:val="multilevel"/>
    <w:tmpl w:val="235708D4"/>
    <w:lvl w:ilvl="0" w:tentative="0">
      <w:start w:val="1"/>
      <w:numFmt w:val="lowerLetter"/>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340135CF"/>
    <w:multiLevelType w:val="multilevel"/>
    <w:tmpl w:val="340135CF"/>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B7E2BCE"/>
    <w:multiLevelType w:val="multilevel"/>
    <w:tmpl w:val="5B7E2BCE"/>
    <w:lvl w:ilvl="0" w:tentative="0">
      <w:start w:val="1"/>
      <w:numFmt w:val="decimal"/>
      <w:pStyle w:val="2"/>
      <w:lvlText w:val="%1"/>
      <w:lvlJc w:val="left"/>
      <w:pPr>
        <w:tabs>
          <w:tab w:val="left" w:pos="0"/>
        </w:tabs>
        <w:ind w:left="0" w:firstLine="0"/>
      </w:pPr>
      <w:rPr>
        <w:rFonts w:hint="eastAsia"/>
        <w:sz w:val="32"/>
        <w:szCs w:val="32"/>
      </w:rPr>
    </w:lvl>
    <w:lvl w:ilvl="1" w:tentative="0">
      <w:start w:val="1"/>
      <w:numFmt w:val="decimal"/>
      <w:pStyle w:val="3"/>
      <w:lvlText w:val="%1.%2"/>
      <w:lvlJc w:val="left"/>
      <w:pPr>
        <w:tabs>
          <w:tab w:val="left" w:pos="567"/>
        </w:tabs>
        <w:ind w:left="0" w:firstLine="0"/>
      </w:pPr>
      <w:rPr>
        <w:rFonts w:hint="eastAsia"/>
      </w:rPr>
    </w:lvl>
    <w:lvl w:ilvl="2" w:tentative="0">
      <w:start w:val="1"/>
      <w:numFmt w:val="decimal"/>
      <w:pStyle w:val="4"/>
      <w:isLgl/>
      <w:lvlText w:val="%1.%2.%3"/>
      <w:lvlJc w:val="left"/>
      <w:pPr>
        <w:tabs>
          <w:tab w:val="left" w:pos="680"/>
        </w:tabs>
        <w:ind w:left="0" w:firstLine="0"/>
      </w:pPr>
      <w:rPr>
        <w:rFonts w:hint="eastAsia"/>
      </w:rPr>
    </w:lvl>
    <w:lvl w:ilvl="3" w:tentative="0">
      <w:start w:val="1"/>
      <w:numFmt w:val="decimal"/>
      <w:lvlText w:val="（%4）"/>
      <w:lvlJc w:val="left"/>
      <w:pPr>
        <w:tabs>
          <w:tab w:val="left" w:pos="-254"/>
        </w:tabs>
        <w:ind w:left="0" w:firstLine="0"/>
      </w:pPr>
      <w:rPr>
        <w:rFonts w:hint="eastAsia"/>
      </w:rPr>
    </w:lvl>
    <w:lvl w:ilvl="4" w:tentative="0">
      <w:start w:val="1"/>
      <w:numFmt w:val="decimal"/>
      <w:lvlText w:val="%1.%2.%3.%4.%5."/>
      <w:lvlJc w:val="left"/>
      <w:pPr>
        <w:tabs>
          <w:tab w:val="left" w:pos="738"/>
        </w:tabs>
        <w:ind w:left="738" w:hanging="992"/>
      </w:pPr>
      <w:rPr>
        <w:rFonts w:hint="eastAsia"/>
      </w:rPr>
    </w:lvl>
    <w:lvl w:ilvl="5" w:tentative="0">
      <w:start w:val="1"/>
      <w:numFmt w:val="decimal"/>
      <w:lvlText w:val="%1.%2.%3.%4.%5.%6."/>
      <w:lvlJc w:val="left"/>
      <w:pPr>
        <w:tabs>
          <w:tab w:val="left" w:pos="880"/>
        </w:tabs>
        <w:ind w:left="880" w:hanging="1134"/>
      </w:pPr>
      <w:rPr>
        <w:rFonts w:hint="eastAsia"/>
      </w:rPr>
    </w:lvl>
    <w:lvl w:ilvl="6" w:tentative="0">
      <w:start w:val="1"/>
      <w:numFmt w:val="decimal"/>
      <w:lvlText w:val="%1.%2.%3.%4.%5.%6.%7."/>
      <w:lvlJc w:val="left"/>
      <w:pPr>
        <w:tabs>
          <w:tab w:val="left" w:pos="1022"/>
        </w:tabs>
        <w:ind w:left="1022" w:hanging="1276"/>
      </w:pPr>
      <w:rPr>
        <w:rFonts w:hint="eastAsia"/>
      </w:rPr>
    </w:lvl>
    <w:lvl w:ilvl="7" w:tentative="0">
      <w:start w:val="1"/>
      <w:numFmt w:val="decimal"/>
      <w:lvlText w:val="%1.%2.%3.%4.%5.%6.%7.%8."/>
      <w:lvlJc w:val="left"/>
      <w:pPr>
        <w:tabs>
          <w:tab w:val="left" w:pos="1164"/>
        </w:tabs>
        <w:ind w:left="1164" w:hanging="1418"/>
      </w:pPr>
      <w:rPr>
        <w:rFonts w:hint="eastAsia"/>
      </w:rPr>
    </w:lvl>
    <w:lvl w:ilvl="8" w:tentative="0">
      <w:start w:val="1"/>
      <w:numFmt w:val="decimal"/>
      <w:lvlText w:val="%1.%2.%3.%4.%5.%6.%7.%8.%9."/>
      <w:lvlJc w:val="left"/>
      <w:pPr>
        <w:tabs>
          <w:tab w:val="left" w:pos="1305"/>
        </w:tabs>
        <w:ind w:left="1305" w:hanging="1559"/>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1D0F"/>
    <w:rsid w:val="00001397"/>
    <w:rsid w:val="00001C33"/>
    <w:rsid w:val="000027AC"/>
    <w:rsid w:val="00003C8D"/>
    <w:rsid w:val="0000569E"/>
    <w:rsid w:val="00005C38"/>
    <w:rsid w:val="00005F88"/>
    <w:rsid w:val="0000695A"/>
    <w:rsid w:val="00007738"/>
    <w:rsid w:val="000121D7"/>
    <w:rsid w:val="0001379C"/>
    <w:rsid w:val="00015AB2"/>
    <w:rsid w:val="000216B6"/>
    <w:rsid w:val="00023543"/>
    <w:rsid w:val="000307DB"/>
    <w:rsid w:val="00030BB1"/>
    <w:rsid w:val="00034302"/>
    <w:rsid w:val="000344A4"/>
    <w:rsid w:val="00035ABA"/>
    <w:rsid w:val="00037B1F"/>
    <w:rsid w:val="00043E38"/>
    <w:rsid w:val="00044C4C"/>
    <w:rsid w:val="000454CD"/>
    <w:rsid w:val="00046C90"/>
    <w:rsid w:val="00055188"/>
    <w:rsid w:val="00056CD8"/>
    <w:rsid w:val="00057758"/>
    <w:rsid w:val="000616B7"/>
    <w:rsid w:val="0006314A"/>
    <w:rsid w:val="00064A3F"/>
    <w:rsid w:val="0006587E"/>
    <w:rsid w:val="00065F3D"/>
    <w:rsid w:val="000727F6"/>
    <w:rsid w:val="00073A86"/>
    <w:rsid w:val="000744CA"/>
    <w:rsid w:val="00076A0F"/>
    <w:rsid w:val="00082DCF"/>
    <w:rsid w:val="00091A51"/>
    <w:rsid w:val="00092C0E"/>
    <w:rsid w:val="00094F13"/>
    <w:rsid w:val="00095B3D"/>
    <w:rsid w:val="00096374"/>
    <w:rsid w:val="000972FE"/>
    <w:rsid w:val="000A0BEF"/>
    <w:rsid w:val="000A1BBB"/>
    <w:rsid w:val="000A3CF6"/>
    <w:rsid w:val="000A4DE7"/>
    <w:rsid w:val="000A7209"/>
    <w:rsid w:val="000A772C"/>
    <w:rsid w:val="000B1704"/>
    <w:rsid w:val="000B562F"/>
    <w:rsid w:val="000C0A57"/>
    <w:rsid w:val="000C20C4"/>
    <w:rsid w:val="000C3E6A"/>
    <w:rsid w:val="000C4DD7"/>
    <w:rsid w:val="000C5227"/>
    <w:rsid w:val="000C7D43"/>
    <w:rsid w:val="000D0446"/>
    <w:rsid w:val="000D1AA6"/>
    <w:rsid w:val="000D407B"/>
    <w:rsid w:val="000D7322"/>
    <w:rsid w:val="000E14AB"/>
    <w:rsid w:val="000E60CA"/>
    <w:rsid w:val="000E71CA"/>
    <w:rsid w:val="000E7415"/>
    <w:rsid w:val="000F1CC4"/>
    <w:rsid w:val="0010025D"/>
    <w:rsid w:val="00103C86"/>
    <w:rsid w:val="001075CB"/>
    <w:rsid w:val="00110684"/>
    <w:rsid w:val="00111340"/>
    <w:rsid w:val="00111437"/>
    <w:rsid w:val="0011169E"/>
    <w:rsid w:val="001121BD"/>
    <w:rsid w:val="00122E3F"/>
    <w:rsid w:val="0012467F"/>
    <w:rsid w:val="00124DF5"/>
    <w:rsid w:val="00126B4B"/>
    <w:rsid w:val="001325AB"/>
    <w:rsid w:val="00133A7C"/>
    <w:rsid w:val="001349C0"/>
    <w:rsid w:val="00134E14"/>
    <w:rsid w:val="001372FE"/>
    <w:rsid w:val="00143CF0"/>
    <w:rsid w:val="00144BC9"/>
    <w:rsid w:val="00153B82"/>
    <w:rsid w:val="00157AA5"/>
    <w:rsid w:val="00162F65"/>
    <w:rsid w:val="00171A44"/>
    <w:rsid w:val="00173AA7"/>
    <w:rsid w:val="00173B8D"/>
    <w:rsid w:val="001764BA"/>
    <w:rsid w:val="00180189"/>
    <w:rsid w:val="00186A0A"/>
    <w:rsid w:val="00187741"/>
    <w:rsid w:val="0019071A"/>
    <w:rsid w:val="00190ABB"/>
    <w:rsid w:val="001913FE"/>
    <w:rsid w:val="00193EC0"/>
    <w:rsid w:val="0019524A"/>
    <w:rsid w:val="0019580B"/>
    <w:rsid w:val="001961C1"/>
    <w:rsid w:val="00197540"/>
    <w:rsid w:val="0019780E"/>
    <w:rsid w:val="001A1324"/>
    <w:rsid w:val="001A1A6D"/>
    <w:rsid w:val="001A2236"/>
    <w:rsid w:val="001A2936"/>
    <w:rsid w:val="001A52BE"/>
    <w:rsid w:val="001A719F"/>
    <w:rsid w:val="001B2F3A"/>
    <w:rsid w:val="001B46E9"/>
    <w:rsid w:val="001B62E6"/>
    <w:rsid w:val="001B70C7"/>
    <w:rsid w:val="001C2CC6"/>
    <w:rsid w:val="001C333A"/>
    <w:rsid w:val="001C35B4"/>
    <w:rsid w:val="001C599C"/>
    <w:rsid w:val="001C7410"/>
    <w:rsid w:val="001D01A4"/>
    <w:rsid w:val="001D04ED"/>
    <w:rsid w:val="001D1472"/>
    <w:rsid w:val="001D5CDB"/>
    <w:rsid w:val="001E36A1"/>
    <w:rsid w:val="001E6A95"/>
    <w:rsid w:val="001F1FA7"/>
    <w:rsid w:val="001F3E1F"/>
    <w:rsid w:val="001F5179"/>
    <w:rsid w:val="001F5181"/>
    <w:rsid w:val="00201FEA"/>
    <w:rsid w:val="00204072"/>
    <w:rsid w:val="002078F0"/>
    <w:rsid w:val="00211F0C"/>
    <w:rsid w:val="0021289E"/>
    <w:rsid w:val="00212D3F"/>
    <w:rsid w:val="00213FB5"/>
    <w:rsid w:val="00215F56"/>
    <w:rsid w:val="0022112F"/>
    <w:rsid w:val="00223564"/>
    <w:rsid w:val="00224788"/>
    <w:rsid w:val="00224D6D"/>
    <w:rsid w:val="00230CF3"/>
    <w:rsid w:val="0023187A"/>
    <w:rsid w:val="00232FF0"/>
    <w:rsid w:val="00234196"/>
    <w:rsid w:val="0023468E"/>
    <w:rsid w:val="002354DE"/>
    <w:rsid w:val="002355DB"/>
    <w:rsid w:val="0023588B"/>
    <w:rsid w:val="002427F1"/>
    <w:rsid w:val="002478A6"/>
    <w:rsid w:val="00247C7F"/>
    <w:rsid w:val="00256943"/>
    <w:rsid w:val="002600FF"/>
    <w:rsid w:val="00261EDB"/>
    <w:rsid w:val="00265A89"/>
    <w:rsid w:val="00270551"/>
    <w:rsid w:val="0027115D"/>
    <w:rsid w:val="00273A66"/>
    <w:rsid w:val="00274AFE"/>
    <w:rsid w:val="00274D74"/>
    <w:rsid w:val="00275662"/>
    <w:rsid w:val="00276ADD"/>
    <w:rsid w:val="002805E8"/>
    <w:rsid w:val="00286FD1"/>
    <w:rsid w:val="002920B6"/>
    <w:rsid w:val="00292595"/>
    <w:rsid w:val="002A5F5A"/>
    <w:rsid w:val="002B0A75"/>
    <w:rsid w:val="002B1CC9"/>
    <w:rsid w:val="002B265F"/>
    <w:rsid w:val="002B5894"/>
    <w:rsid w:val="002C0D20"/>
    <w:rsid w:val="002C1319"/>
    <w:rsid w:val="002C28F6"/>
    <w:rsid w:val="002C4E95"/>
    <w:rsid w:val="002C7DD6"/>
    <w:rsid w:val="002D1B1A"/>
    <w:rsid w:val="002D4046"/>
    <w:rsid w:val="002D4CEC"/>
    <w:rsid w:val="002D571D"/>
    <w:rsid w:val="002E3F77"/>
    <w:rsid w:val="002E54CA"/>
    <w:rsid w:val="002E5923"/>
    <w:rsid w:val="002E6356"/>
    <w:rsid w:val="002F0E5B"/>
    <w:rsid w:val="002F4B2F"/>
    <w:rsid w:val="002F4E82"/>
    <w:rsid w:val="002F5635"/>
    <w:rsid w:val="002F7214"/>
    <w:rsid w:val="002F7583"/>
    <w:rsid w:val="002F7EBB"/>
    <w:rsid w:val="003008A8"/>
    <w:rsid w:val="00305A1A"/>
    <w:rsid w:val="003066E7"/>
    <w:rsid w:val="00306C73"/>
    <w:rsid w:val="00306D2E"/>
    <w:rsid w:val="00310D5F"/>
    <w:rsid w:val="00317C98"/>
    <w:rsid w:val="003225E9"/>
    <w:rsid w:val="00325F93"/>
    <w:rsid w:val="003338A5"/>
    <w:rsid w:val="003359EB"/>
    <w:rsid w:val="00337F97"/>
    <w:rsid w:val="0034078D"/>
    <w:rsid w:val="00340862"/>
    <w:rsid w:val="003421D3"/>
    <w:rsid w:val="00343501"/>
    <w:rsid w:val="003504C7"/>
    <w:rsid w:val="0035138E"/>
    <w:rsid w:val="00360044"/>
    <w:rsid w:val="00360336"/>
    <w:rsid w:val="00360D74"/>
    <w:rsid w:val="00362EEB"/>
    <w:rsid w:val="00363CFC"/>
    <w:rsid w:val="00364205"/>
    <w:rsid w:val="0036544F"/>
    <w:rsid w:val="00365FFE"/>
    <w:rsid w:val="003676F8"/>
    <w:rsid w:val="00371287"/>
    <w:rsid w:val="00373441"/>
    <w:rsid w:val="00377097"/>
    <w:rsid w:val="00377183"/>
    <w:rsid w:val="00380D89"/>
    <w:rsid w:val="00380E0F"/>
    <w:rsid w:val="00383452"/>
    <w:rsid w:val="003911A6"/>
    <w:rsid w:val="003913E0"/>
    <w:rsid w:val="00393B93"/>
    <w:rsid w:val="00397567"/>
    <w:rsid w:val="003A66A7"/>
    <w:rsid w:val="003A7EC9"/>
    <w:rsid w:val="003B0784"/>
    <w:rsid w:val="003B2FF2"/>
    <w:rsid w:val="003B4804"/>
    <w:rsid w:val="003B6963"/>
    <w:rsid w:val="003C6317"/>
    <w:rsid w:val="003D1246"/>
    <w:rsid w:val="003D2264"/>
    <w:rsid w:val="003D534B"/>
    <w:rsid w:val="003F2394"/>
    <w:rsid w:val="003F7F98"/>
    <w:rsid w:val="00406DD7"/>
    <w:rsid w:val="00407275"/>
    <w:rsid w:val="00411ED1"/>
    <w:rsid w:val="0041283B"/>
    <w:rsid w:val="00414D62"/>
    <w:rsid w:val="00415D1C"/>
    <w:rsid w:val="00420C98"/>
    <w:rsid w:val="00420E26"/>
    <w:rsid w:val="00421884"/>
    <w:rsid w:val="00424948"/>
    <w:rsid w:val="004250C2"/>
    <w:rsid w:val="00427481"/>
    <w:rsid w:val="00431309"/>
    <w:rsid w:val="004314E3"/>
    <w:rsid w:val="00431FF3"/>
    <w:rsid w:val="004356C6"/>
    <w:rsid w:val="00436908"/>
    <w:rsid w:val="00437297"/>
    <w:rsid w:val="0044041D"/>
    <w:rsid w:val="00440A28"/>
    <w:rsid w:val="0044112F"/>
    <w:rsid w:val="0044186C"/>
    <w:rsid w:val="00442C43"/>
    <w:rsid w:val="00445A39"/>
    <w:rsid w:val="00453394"/>
    <w:rsid w:val="00453D6F"/>
    <w:rsid w:val="00454BC0"/>
    <w:rsid w:val="00457B3C"/>
    <w:rsid w:val="0046047C"/>
    <w:rsid w:val="004619A9"/>
    <w:rsid w:val="00462A76"/>
    <w:rsid w:val="00462ABD"/>
    <w:rsid w:val="00462F6F"/>
    <w:rsid w:val="00463C21"/>
    <w:rsid w:val="00477BAD"/>
    <w:rsid w:val="0048352C"/>
    <w:rsid w:val="0048381A"/>
    <w:rsid w:val="00485D7F"/>
    <w:rsid w:val="0049012D"/>
    <w:rsid w:val="00490F2B"/>
    <w:rsid w:val="00491BFD"/>
    <w:rsid w:val="00491E5D"/>
    <w:rsid w:val="004964FC"/>
    <w:rsid w:val="0049763E"/>
    <w:rsid w:val="004A4BEE"/>
    <w:rsid w:val="004A5A46"/>
    <w:rsid w:val="004A6AC2"/>
    <w:rsid w:val="004B0668"/>
    <w:rsid w:val="004B5B88"/>
    <w:rsid w:val="004C15BB"/>
    <w:rsid w:val="004C1705"/>
    <w:rsid w:val="004C3D4B"/>
    <w:rsid w:val="004C5DB6"/>
    <w:rsid w:val="004D149E"/>
    <w:rsid w:val="004D2243"/>
    <w:rsid w:val="004D26B9"/>
    <w:rsid w:val="004D58E6"/>
    <w:rsid w:val="004D5FED"/>
    <w:rsid w:val="004D72A7"/>
    <w:rsid w:val="004D7D7F"/>
    <w:rsid w:val="004E0886"/>
    <w:rsid w:val="004E247D"/>
    <w:rsid w:val="004E6523"/>
    <w:rsid w:val="004E787F"/>
    <w:rsid w:val="004E7EEF"/>
    <w:rsid w:val="004F0E5C"/>
    <w:rsid w:val="004F78FE"/>
    <w:rsid w:val="005005DE"/>
    <w:rsid w:val="0050265B"/>
    <w:rsid w:val="00506CEB"/>
    <w:rsid w:val="00513043"/>
    <w:rsid w:val="00522C21"/>
    <w:rsid w:val="0052464D"/>
    <w:rsid w:val="00524782"/>
    <w:rsid w:val="005264A7"/>
    <w:rsid w:val="00527FDB"/>
    <w:rsid w:val="005377D3"/>
    <w:rsid w:val="0054033F"/>
    <w:rsid w:val="005461B0"/>
    <w:rsid w:val="0054795A"/>
    <w:rsid w:val="0055038D"/>
    <w:rsid w:val="00552EDB"/>
    <w:rsid w:val="005553A2"/>
    <w:rsid w:val="00560503"/>
    <w:rsid w:val="00564112"/>
    <w:rsid w:val="005648B5"/>
    <w:rsid w:val="00571085"/>
    <w:rsid w:val="005807D6"/>
    <w:rsid w:val="00580BEF"/>
    <w:rsid w:val="00580CA1"/>
    <w:rsid w:val="00585BC9"/>
    <w:rsid w:val="0058705E"/>
    <w:rsid w:val="005902C2"/>
    <w:rsid w:val="005914C5"/>
    <w:rsid w:val="00592147"/>
    <w:rsid w:val="00594A82"/>
    <w:rsid w:val="00595FBB"/>
    <w:rsid w:val="0059794E"/>
    <w:rsid w:val="005A029C"/>
    <w:rsid w:val="005A21CD"/>
    <w:rsid w:val="005A2DAD"/>
    <w:rsid w:val="005A3B54"/>
    <w:rsid w:val="005A6E85"/>
    <w:rsid w:val="005A70FC"/>
    <w:rsid w:val="005B10E7"/>
    <w:rsid w:val="005B10E9"/>
    <w:rsid w:val="005B2887"/>
    <w:rsid w:val="005B30B0"/>
    <w:rsid w:val="005B5132"/>
    <w:rsid w:val="005B6F5B"/>
    <w:rsid w:val="005C1E5F"/>
    <w:rsid w:val="005C213A"/>
    <w:rsid w:val="005C5640"/>
    <w:rsid w:val="005D0D94"/>
    <w:rsid w:val="005D196B"/>
    <w:rsid w:val="005D1B2D"/>
    <w:rsid w:val="005D2681"/>
    <w:rsid w:val="005D6E33"/>
    <w:rsid w:val="005D7CB1"/>
    <w:rsid w:val="005E0103"/>
    <w:rsid w:val="005E1534"/>
    <w:rsid w:val="005E2825"/>
    <w:rsid w:val="005E2C2A"/>
    <w:rsid w:val="005E42BB"/>
    <w:rsid w:val="005E643A"/>
    <w:rsid w:val="005E7E0D"/>
    <w:rsid w:val="005F2F92"/>
    <w:rsid w:val="0060363D"/>
    <w:rsid w:val="006058D0"/>
    <w:rsid w:val="00606345"/>
    <w:rsid w:val="0060694D"/>
    <w:rsid w:val="00607A81"/>
    <w:rsid w:val="006109B7"/>
    <w:rsid w:val="00614028"/>
    <w:rsid w:val="00614CD8"/>
    <w:rsid w:val="00615AE9"/>
    <w:rsid w:val="00622545"/>
    <w:rsid w:val="006267D6"/>
    <w:rsid w:val="00626862"/>
    <w:rsid w:val="00634B14"/>
    <w:rsid w:val="00636685"/>
    <w:rsid w:val="00642BD6"/>
    <w:rsid w:val="00643771"/>
    <w:rsid w:val="00645149"/>
    <w:rsid w:val="006464AA"/>
    <w:rsid w:val="00646A30"/>
    <w:rsid w:val="00650AD2"/>
    <w:rsid w:val="00651714"/>
    <w:rsid w:val="00653941"/>
    <w:rsid w:val="00655195"/>
    <w:rsid w:val="00660418"/>
    <w:rsid w:val="0066124B"/>
    <w:rsid w:val="00661FDC"/>
    <w:rsid w:val="00662639"/>
    <w:rsid w:val="006629BB"/>
    <w:rsid w:val="0066436D"/>
    <w:rsid w:val="00664F2D"/>
    <w:rsid w:val="00666969"/>
    <w:rsid w:val="00666BDD"/>
    <w:rsid w:val="00667069"/>
    <w:rsid w:val="006673CD"/>
    <w:rsid w:val="00671BC5"/>
    <w:rsid w:val="006723BE"/>
    <w:rsid w:val="00673B6F"/>
    <w:rsid w:val="00673E16"/>
    <w:rsid w:val="00674AD6"/>
    <w:rsid w:val="00677614"/>
    <w:rsid w:val="00680290"/>
    <w:rsid w:val="00680BA5"/>
    <w:rsid w:val="00685ED3"/>
    <w:rsid w:val="006902AD"/>
    <w:rsid w:val="006910AC"/>
    <w:rsid w:val="0069110B"/>
    <w:rsid w:val="006912FD"/>
    <w:rsid w:val="00691EDB"/>
    <w:rsid w:val="006A017B"/>
    <w:rsid w:val="006A2B32"/>
    <w:rsid w:val="006A35FD"/>
    <w:rsid w:val="006A6DE6"/>
    <w:rsid w:val="006B0AC6"/>
    <w:rsid w:val="006B1272"/>
    <w:rsid w:val="006B6AAB"/>
    <w:rsid w:val="006C437F"/>
    <w:rsid w:val="006D18E4"/>
    <w:rsid w:val="006D4C89"/>
    <w:rsid w:val="006D5791"/>
    <w:rsid w:val="006E3C4A"/>
    <w:rsid w:val="006E6099"/>
    <w:rsid w:val="006F018E"/>
    <w:rsid w:val="006F0EA2"/>
    <w:rsid w:val="006F1946"/>
    <w:rsid w:val="006F1DB4"/>
    <w:rsid w:val="006F3BB7"/>
    <w:rsid w:val="006F3DEF"/>
    <w:rsid w:val="006F4237"/>
    <w:rsid w:val="006F5D50"/>
    <w:rsid w:val="006F653F"/>
    <w:rsid w:val="00711479"/>
    <w:rsid w:val="00713570"/>
    <w:rsid w:val="00714F75"/>
    <w:rsid w:val="00716744"/>
    <w:rsid w:val="00722EB9"/>
    <w:rsid w:val="0072572D"/>
    <w:rsid w:val="007259A2"/>
    <w:rsid w:val="007316EE"/>
    <w:rsid w:val="00732B8C"/>
    <w:rsid w:val="007344DB"/>
    <w:rsid w:val="007360BF"/>
    <w:rsid w:val="007406A8"/>
    <w:rsid w:val="00750739"/>
    <w:rsid w:val="007510C8"/>
    <w:rsid w:val="00752A7F"/>
    <w:rsid w:val="0075394E"/>
    <w:rsid w:val="00753BD6"/>
    <w:rsid w:val="007552F4"/>
    <w:rsid w:val="007612E8"/>
    <w:rsid w:val="00780AC7"/>
    <w:rsid w:val="0078532E"/>
    <w:rsid w:val="0078563B"/>
    <w:rsid w:val="0078741E"/>
    <w:rsid w:val="007922F5"/>
    <w:rsid w:val="007944C6"/>
    <w:rsid w:val="007964BB"/>
    <w:rsid w:val="007A04E8"/>
    <w:rsid w:val="007A4F57"/>
    <w:rsid w:val="007A5699"/>
    <w:rsid w:val="007B0244"/>
    <w:rsid w:val="007B41D4"/>
    <w:rsid w:val="007B54B8"/>
    <w:rsid w:val="007B58BF"/>
    <w:rsid w:val="007C1984"/>
    <w:rsid w:val="007C1CF0"/>
    <w:rsid w:val="007C3220"/>
    <w:rsid w:val="007D3677"/>
    <w:rsid w:val="007D4466"/>
    <w:rsid w:val="007D69A2"/>
    <w:rsid w:val="007E2C17"/>
    <w:rsid w:val="007E3AC4"/>
    <w:rsid w:val="007F26A2"/>
    <w:rsid w:val="007F3313"/>
    <w:rsid w:val="007F33F9"/>
    <w:rsid w:val="007F646E"/>
    <w:rsid w:val="007F6F99"/>
    <w:rsid w:val="0080222D"/>
    <w:rsid w:val="00804DF9"/>
    <w:rsid w:val="00813097"/>
    <w:rsid w:val="00816EE3"/>
    <w:rsid w:val="008245F2"/>
    <w:rsid w:val="00826750"/>
    <w:rsid w:val="00827814"/>
    <w:rsid w:val="00827B19"/>
    <w:rsid w:val="0083040A"/>
    <w:rsid w:val="0083085B"/>
    <w:rsid w:val="00831826"/>
    <w:rsid w:val="008320BE"/>
    <w:rsid w:val="0083266F"/>
    <w:rsid w:val="00835E29"/>
    <w:rsid w:val="008418C1"/>
    <w:rsid w:val="0084253E"/>
    <w:rsid w:val="00843188"/>
    <w:rsid w:val="00843FAD"/>
    <w:rsid w:val="0084579F"/>
    <w:rsid w:val="00845840"/>
    <w:rsid w:val="00850781"/>
    <w:rsid w:val="00857631"/>
    <w:rsid w:val="00861D39"/>
    <w:rsid w:val="0087119E"/>
    <w:rsid w:val="008752DC"/>
    <w:rsid w:val="00877257"/>
    <w:rsid w:val="00880D9C"/>
    <w:rsid w:val="0088193B"/>
    <w:rsid w:val="00884F79"/>
    <w:rsid w:val="00887B2F"/>
    <w:rsid w:val="00892F90"/>
    <w:rsid w:val="00894039"/>
    <w:rsid w:val="00896782"/>
    <w:rsid w:val="008978C5"/>
    <w:rsid w:val="008A37E5"/>
    <w:rsid w:val="008A604A"/>
    <w:rsid w:val="008A7658"/>
    <w:rsid w:val="008A781A"/>
    <w:rsid w:val="008B1118"/>
    <w:rsid w:val="008B20DA"/>
    <w:rsid w:val="008B22D0"/>
    <w:rsid w:val="008B3077"/>
    <w:rsid w:val="008B419D"/>
    <w:rsid w:val="008B7431"/>
    <w:rsid w:val="008B7A70"/>
    <w:rsid w:val="008C231C"/>
    <w:rsid w:val="008C4894"/>
    <w:rsid w:val="008C48A1"/>
    <w:rsid w:val="008C5C8D"/>
    <w:rsid w:val="008C6200"/>
    <w:rsid w:val="008D06DC"/>
    <w:rsid w:val="008D0DE0"/>
    <w:rsid w:val="008D0FB0"/>
    <w:rsid w:val="008D14DF"/>
    <w:rsid w:val="008D24AA"/>
    <w:rsid w:val="008D3232"/>
    <w:rsid w:val="008D5A87"/>
    <w:rsid w:val="008E1125"/>
    <w:rsid w:val="008E116C"/>
    <w:rsid w:val="008E2517"/>
    <w:rsid w:val="008E271C"/>
    <w:rsid w:val="008E463C"/>
    <w:rsid w:val="008E54A7"/>
    <w:rsid w:val="008E5E70"/>
    <w:rsid w:val="008E6EC2"/>
    <w:rsid w:val="008E6F6F"/>
    <w:rsid w:val="008E7F13"/>
    <w:rsid w:val="008F1A53"/>
    <w:rsid w:val="008F1C8E"/>
    <w:rsid w:val="008F2BFF"/>
    <w:rsid w:val="008F2D04"/>
    <w:rsid w:val="008F4A45"/>
    <w:rsid w:val="008F681D"/>
    <w:rsid w:val="008F7E60"/>
    <w:rsid w:val="009001BA"/>
    <w:rsid w:val="00900803"/>
    <w:rsid w:val="00901067"/>
    <w:rsid w:val="00904EA3"/>
    <w:rsid w:val="0090571F"/>
    <w:rsid w:val="00906519"/>
    <w:rsid w:val="00910AE5"/>
    <w:rsid w:val="0091230E"/>
    <w:rsid w:val="00912E99"/>
    <w:rsid w:val="0091522F"/>
    <w:rsid w:val="009171C2"/>
    <w:rsid w:val="00920CF5"/>
    <w:rsid w:val="00922CDE"/>
    <w:rsid w:val="00923A34"/>
    <w:rsid w:val="00925C86"/>
    <w:rsid w:val="009278FB"/>
    <w:rsid w:val="009301FA"/>
    <w:rsid w:val="00930359"/>
    <w:rsid w:val="009305D1"/>
    <w:rsid w:val="00930B3B"/>
    <w:rsid w:val="0093130F"/>
    <w:rsid w:val="00932749"/>
    <w:rsid w:val="009332B8"/>
    <w:rsid w:val="00935C58"/>
    <w:rsid w:val="00937D53"/>
    <w:rsid w:val="00937E3E"/>
    <w:rsid w:val="00941D92"/>
    <w:rsid w:val="00944E5E"/>
    <w:rsid w:val="0095086C"/>
    <w:rsid w:val="00951795"/>
    <w:rsid w:val="0095276C"/>
    <w:rsid w:val="00952A71"/>
    <w:rsid w:val="00953EB8"/>
    <w:rsid w:val="009575A5"/>
    <w:rsid w:val="00960EBA"/>
    <w:rsid w:val="00962902"/>
    <w:rsid w:val="00964BC2"/>
    <w:rsid w:val="00970159"/>
    <w:rsid w:val="009730B1"/>
    <w:rsid w:val="00974557"/>
    <w:rsid w:val="009747C8"/>
    <w:rsid w:val="00975073"/>
    <w:rsid w:val="00977819"/>
    <w:rsid w:val="00994B5D"/>
    <w:rsid w:val="00995AA3"/>
    <w:rsid w:val="0099772B"/>
    <w:rsid w:val="009A1058"/>
    <w:rsid w:val="009A3911"/>
    <w:rsid w:val="009A6552"/>
    <w:rsid w:val="009A69FC"/>
    <w:rsid w:val="009B0636"/>
    <w:rsid w:val="009B1364"/>
    <w:rsid w:val="009B15E0"/>
    <w:rsid w:val="009B7E56"/>
    <w:rsid w:val="009C1432"/>
    <w:rsid w:val="009C1A59"/>
    <w:rsid w:val="009C33D1"/>
    <w:rsid w:val="009C45A4"/>
    <w:rsid w:val="009C5E23"/>
    <w:rsid w:val="009C70E8"/>
    <w:rsid w:val="009E1D0B"/>
    <w:rsid w:val="009E275C"/>
    <w:rsid w:val="009E67C2"/>
    <w:rsid w:val="009F0DF6"/>
    <w:rsid w:val="009F49A7"/>
    <w:rsid w:val="009F581D"/>
    <w:rsid w:val="009F7986"/>
    <w:rsid w:val="00A02A9D"/>
    <w:rsid w:val="00A030A0"/>
    <w:rsid w:val="00A03149"/>
    <w:rsid w:val="00A034E4"/>
    <w:rsid w:val="00A054F5"/>
    <w:rsid w:val="00A060E6"/>
    <w:rsid w:val="00A13D78"/>
    <w:rsid w:val="00A17807"/>
    <w:rsid w:val="00A22A06"/>
    <w:rsid w:val="00A23046"/>
    <w:rsid w:val="00A25A3D"/>
    <w:rsid w:val="00A2633D"/>
    <w:rsid w:val="00A26997"/>
    <w:rsid w:val="00A316C4"/>
    <w:rsid w:val="00A32ABC"/>
    <w:rsid w:val="00A3390B"/>
    <w:rsid w:val="00A41078"/>
    <w:rsid w:val="00A4112F"/>
    <w:rsid w:val="00A438EC"/>
    <w:rsid w:val="00A44D04"/>
    <w:rsid w:val="00A45759"/>
    <w:rsid w:val="00A47482"/>
    <w:rsid w:val="00A4788E"/>
    <w:rsid w:val="00A5008B"/>
    <w:rsid w:val="00A5039C"/>
    <w:rsid w:val="00A50BF8"/>
    <w:rsid w:val="00A50E07"/>
    <w:rsid w:val="00A52434"/>
    <w:rsid w:val="00A52D10"/>
    <w:rsid w:val="00A53C0D"/>
    <w:rsid w:val="00A55217"/>
    <w:rsid w:val="00A56A66"/>
    <w:rsid w:val="00A56ADA"/>
    <w:rsid w:val="00A5769C"/>
    <w:rsid w:val="00A613D8"/>
    <w:rsid w:val="00A649F8"/>
    <w:rsid w:val="00A64A0B"/>
    <w:rsid w:val="00A6723F"/>
    <w:rsid w:val="00A6743C"/>
    <w:rsid w:val="00A7381C"/>
    <w:rsid w:val="00A744D5"/>
    <w:rsid w:val="00A76B27"/>
    <w:rsid w:val="00A76B76"/>
    <w:rsid w:val="00A76C32"/>
    <w:rsid w:val="00A86850"/>
    <w:rsid w:val="00A86A2E"/>
    <w:rsid w:val="00A876C9"/>
    <w:rsid w:val="00A94E23"/>
    <w:rsid w:val="00A95E0E"/>
    <w:rsid w:val="00AA0214"/>
    <w:rsid w:val="00AA2963"/>
    <w:rsid w:val="00AA3FB8"/>
    <w:rsid w:val="00AA443E"/>
    <w:rsid w:val="00AA7E4D"/>
    <w:rsid w:val="00AB6434"/>
    <w:rsid w:val="00AC10FE"/>
    <w:rsid w:val="00AC190C"/>
    <w:rsid w:val="00AC51B2"/>
    <w:rsid w:val="00AC7BC5"/>
    <w:rsid w:val="00AD0FAD"/>
    <w:rsid w:val="00AD29CE"/>
    <w:rsid w:val="00AD4C8B"/>
    <w:rsid w:val="00AD68A6"/>
    <w:rsid w:val="00AD75A1"/>
    <w:rsid w:val="00AD7A8E"/>
    <w:rsid w:val="00AE07E4"/>
    <w:rsid w:val="00AE0A2F"/>
    <w:rsid w:val="00AE4091"/>
    <w:rsid w:val="00AE63B5"/>
    <w:rsid w:val="00AF1030"/>
    <w:rsid w:val="00AF2589"/>
    <w:rsid w:val="00AF62D1"/>
    <w:rsid w:val="00AF7C5C"/>
    <w:rsid w:val="00B00800"/>
    <w:rsid w:val="00B00FB5"/>
    <w:rsid w:val="00B01057"/>
    <w:rsid w:val="00B024C9"/>
    <w:rsid w:val="00B02AD5"/>
    <w:rsid w:val="00B03347"/>
    <w:rsid w:val="00B048D3"/>
    <w:rsid w:val="00B051BD"/>
    <w:rsid w:val="00B1119A"/>
    <w:rsid w:val="00B115CF"/>
    <w:rsid w:val="00B132BA"/>
    <w:rsid w:val="00B15C66"/>
    <w:rsid w:val="00B16881"/>
    <w:rsid w:val="00B2071D"/>
    <w:rsid w:val="00B27AD6"/>
    <w:rsid w:val="00B31ECB"/>
    <w:rsid w:val="00B3311D"/>
    <w:rsid w:val="00B33898"/>
    <w:rsid w:val="00B34233"/>
    <w:rsid w:val="00B35060"/>
    <w:rsid w:val="00B37BFE"/>
    <w:rsid w:val="00B40557"/>
    <w:rsid w:val="00B40906"/>
    <w:rsid w:val="00B42A1A"/>
    <w:rsid w:val="00B436F5"/>
    <w:rsid w:val="00B60A0D"/>
    <w:rsid w:val="00B60F38"/>
    <w:rsid w:val="00B6373A"/>
    <w:rsid w:val="00B66C42"/>
    <w:rsid w:val="00B75EE4"/>
    <w:rsid w:val="00B76E37"/>
    <w:rsid w:val="00B774ED"/>
    <w:rsid w:val="00B81D23"/>
    <w:rsid w:val="00B82D4A"/>
    <w:rsid w:val="00B84DB3"/>
    <w:rsid w:val="00B84E06"/>
    <w:rsid w:val="00B925B8"/>
    <w:rsid w:val="00B945D0"/>
    <w:rsid w:val="00B95F49"/>
    <w:rsid w:val="00B96C42"/>
    <w:rsid w:val="00BA0286"/>
    <w:rsid w:val="00BA0893"/>
    <w:rsid w:val="00BA0AE7"/>
    <w:rsid w:val="00BA2F52"/>
    <w:rsid w:val="00BA624B"/>
    <w:rsid w:val="00BB1F38"/>
    <w:rsid w:val="00BB3FE4"/>
    <w:rsid w:val="00BB4862"/>
    <w:rsid w:val="00BB53D5"/>
    <w:rsid w:val="00BB65DD"/>
    <w:rsid w:val="00BC15D7"/>
    <w:rsid w:val="00BC16AF"/>
    <w:rsid w:val="00BC1F9A"/>
    <w:rsid w:val="00BC3BEF"/>
    <w:rsid w:val="00BC5443"/>
    <w:rsid w:val="00BC62C6"/>
    <w:rsid w:val="00BC6527"/>
    <w:rsid w:val="00BD1D0F"/>
    <w:rsid w:val="00BD1DE1"/>
    <w:rsid w:val="00BD4032"/>
    <w:rsid w:val="00BD4184"/>
    <w:rsid w:val="00BD5178"/>
    <w:rsid w:val="00BD7FF4"/>
    <w:rsid w:val="00BE1FF3"/>
    <w:rsid w:val="00BE43B2"/>
    <w:rsid w:val="00BE6AFD"/>
    <w:rsid w:val="00C022C1"/>
    <w:rsid w:val="00C029FA"/>
    <w:rsid w:val="00C06D45"/>
    <w:rsid w:val="00C0749C"/>
    <w:rsid w:val="00C07809"/>
    <w:rsid w:val="00C1144D"/>
    <w:rsid w:val="00C129EC"/>
    <w:rsid w:val="00C12F14"/>
    <w:rsid w:val="00C153D2"/>
    <w:rsid w:val="00C17640"/>
    <w:rsid w:val="00C20923"/>
    <w:rsid w:val="00C24AE5"/>
    <w:rsid w:val="00C26975"/>
    <w:rsid w:val="00C33271"/>
    <w:rsid w:val="00C355AE"/>
    <w:rsid w:val="00C4053F"/>
    <w:rsid w:val="00C439EA"/>
    <w:rsid w:val="00C44BB6"/>
    <w:rsid w:val="00C461C0"/>
    <w:rsid w:val="00C5065A"/>
    <w:rsid w:val="00C50F38"/>
    <w:rsid w:val="00C51475"/>
    <w:rsid w:val="00C52F20"/>
    <w:rsid w:val="00C53367"/>
    <w:rsid w:val="00C55C81"/>
    <w:rsid w:val="00C56C54"/>
    <w:rsid w:val="00C57C44"/>
    <w:rsid w:val="00C66060"/>
    <w:rsid w:val="00C66E8D"/>
    <w:rsid w:val="00C7193F"/>
    <w:rsid w:val="00C71F24"/>
    <w:rsid w:val="00C753F1"/>
    <w:rsid w:val="00C82B34"/>
    <w:rsid w:val="00C90AD8"/>
    <w:rsid w:val="00C921BA"/>
    <w:rsid w:val="00C924D3"/>
    <w:rsid w:val="00C92D64"/>
    <w:rsid w:val="00C9361C"/>
    <w:rsid w:val="00C96834"/>
    <w:rsid w:val="00CA2242"/>
    <w:rsid w:val="00CA6349"/>
    <w:rsid w:val="00CB1D2F"/>
    <w:rsid w:val="00CB55BD"/>
    <w:rsid w:val="00CB7D07"/>
    <w:rsid w:val="00CC157F"/>
    <w:rsid w:val="00CC2019"/>
    <w:rsid w:val="00CC6069"/>
    <w:rsid w:val="00CC6A5B"/>
    <w:rsid w:val="00CC7E6D"/>
    <w:rsid w:val="00CD1658"/>
    <w:rsid w:val="00CD1BD1"/>
    <w:rsid w:val="00CD6669"/>
    <w:rsid w:val="00CD74E2"/>
    <w:rsid w:val="00CE1267"/>
    <w:rsid w:val="00CE4FEF"/>
    <w:rsid w:val="00CE52CE"/>
    <w:rsid w:val="00CF0764"/>
    <w:rsid w:val="00CF5155"/>
    <w:rsid w:val="00CF5341"/>
    <w:rsid w:val="00CF6822"/>
    <w:rsid w:val="00D0001C"/>
    <w:rsid w:val="00D10A91"/>
    <w:rsid w:val="00D1280F"/>
    <w:rsid w:val="00D146D6"/>
    <w:rsid w:val="00D1506C"/>
    <w:rsid w:val="00D15227"/>
    <w:rsid w:val="00D15699"/>
    <w:rsid w:val="00D21819"/>
    <w:rsid w:val="00D24703"/>
    <w:rsid w:val="00D2693A"/>
    <w:rsid w:val="00D27011"/>
    <w:rsid w:val="00D270E8"/>
    <w:rsid w:val="00D30FD3"/>
    <w:rsid w:val="00D31FF1"/>
    <w:rsid w:val="00D33986"/>
    <w:rsid w:val="00D33D7E"/>
    <w:rsid w:val="00D35D72"/>
    <w:rsid w:val="00D364D2"/>
    <w:rsid w:val="00D40366"/>
    <w:rsid w:val="00D41E7E"/>
    <w:rsid w:val="00D43022"/>
    <w:rsid w:val="00D433F6"/>
    <w:rsid w:val="00D4372B"/>
    <w:rsid w:val="00D46A92"/>
    <w:rsid w:val="00D5044A"/>
    <w:rsid w:val="00D64511"/>
    <w:rsid w:val="00D64D42"/>
    <w:rsid w:val="00D66356"/>
    <w:rsid w:val="00D71353"/>
    <w:rsid w:val="00D73A58"/>
    <w:rsid w:val="00D74CF2"/>
    <w:rsid w:val="00D752F9"/>
    <w:rsid w:val="00D77ADE"/>
    <w:rsid w:val="00D80205"/>
    <w:rsid w:val="00D81751"/>
    <w:rsid w:val="00D82219"/>
    <w:rsid w:val="00D84802"/>
    <w:rsid w:val="00D86D0D"/>
    <w:rsid w:val="00D87025"/>
    <w:rsid w:val="00D91DA4"/>
    <w:rsid w:val="00D9216A"/>
    <w:rsid w:val="00D92AA7"/>
    <w:rsid w:val="00D93FA3"/>
    <w:rsid w:val="00D97C18"/>
    <w:rsid w:val="00D97F15"/>
    <w:rsid w:val="00DA0CB5"/>
    <w:rsid w:val="00DA443B"/>
    <w:rsid w:val="00DA6182"/>
    <w:rsid w:val="00DB0A0A"/>
    <w:rsid w:val="00DB10A2"/>
    <w:rsid w:val="00DB12A1"/>
    <w:rsid w:val="00DB1D31"/>
    <w:rsid w:val="00DB4417"/>
    <w:rsid w:val="00DC039C"/>
    <w:rsid w:val="00DC147A"/>
    <w:rsid w:val="00DC1D0C"/>
    <w:rsid w:val="00DC4617"/>
    <w:rsid w:val="00DC6C4A"/>
    <w:rsid w:val="00DC7BFC"/>
    <w:rsid w:val="00DD3E63"/>
    <w:rsid w:val="00DD68BB"/>
    <w:rsid w:val="00DE0C79"/>
    <w:rsid w:val="00DE4CEE"/>
    <w:rsid w:val="00DE7801"/>
    <w:rsid w:val="00DF104D"/>
    <w:rsid w:val="00DF4093"/>
    <w:rsid w:val="00DF4895"/>
    <w:rsid w:val="00DF4EDC"/>
    <w:rsid w:val="00DF5C98"/>
    <w:rsid w:val="00DF6621"/>
    <w:rsid w:val="00E04262"/>
    <w:rsid w:val="00E06C8E"/>
    <w:rsid w:val="00E10FEF"/>
    <w:rsid w:val="00E15FCD"/>
    <w:rsid w:val="00E212F5"/>
    <w:rsid w:val="00E22618"/>
    <w:rsid w:val="00E243EC"/>
    <w:rsid w:val="00E30F20"/>
    <w:rsid w:val="00E333EB"/>
    <w:rsid w:val="00E35D20"/>
    <w:rsid w:val="00E37DE9"/>
    <w:rsid w:val="00E403BB"/>
    <w:rsid w:val="00E41006"/>
    <w:rsid w:val="00E434B5"/>
    <w:rsid w:val="00E43E7C"/>
    <w:rsid w:val="00E448A2"/>
    <w:rsid w:val="00E45375"/>
    <w:rsid w:val="00E466AE"/>
    <w:rsid w:val="00E47148"/>
    <w:rsid w:val="00E5263B"/>
    <w:rsid w:val="00E545FF"/>
    <w:rsid w:val="00E575D1"/>
    <w:rsid w:val="00E60946"/>
    <w:rsid w:val="00E64921"/>
    <w:rsid w:val="00E67F56"/>
    <w:rsid w:val="00E743D9"/>
    <w:rsid w:val="00E75AB7"/>
    <w:rsid w:val="00E77AAF"/>
    <w:rsid w:val="00E80C16"/>
    <w:rsid w:val="00E852EB"/>
    <w:rsid w:val="00E92600"/>
    <w:rsid w:val="00E93210"/>
    <w:rsid w:val="00E94336"/>
    <w:rsid w:val="00E9473D"/>
    <w:rsid w:val="00E94895"/>
    <w:rsid w:val="00E9621C"/>
    <w:rsid w:val="00EA0FEC"/>
    <w:rsid w:val="00EA22C3"/>
    <w:rsid w:val="00EA259D"/>
    <w:rsid w:val="00EA28F0"/>
    <w:rsid w:val="00EA5B4B"/>
    <w:rsid w:val="00EA7B15"/>
    <w:rsid w:val="00EB0869"/>
    <w:rsid w:val="00EB4992"/>
    <w:rsid w:val="00EB5F73"/>
    <w:rsid w:val="00EC25CF"/>
    <w:rsid w:val="00EC4141"/>
    <w:rsid w:val="00EC5AF8"/>
    <w:rsid w:val="00EC7157"/>
    <w:rsid w:val="00ED2F59"/>
    <w:rsid w:val="00ED32A8"/>
    <w:rsid w:val="00EE0413"/>
    <w:rsid w:val="00EE0C1A"/>
    <w:rsid w:val="00EE2DAC"/>
    <w:rsid w:val="00EE4611"/>
    <w:rsid w:val="00EE6830"/>
    <w:rsid w:val="00EE7521"/>
    <w:rsid w:val="00EE7CA3"/>
    <w:rsid w:val="00EF1613"/>
    <w:rsid w:val="00EF1795"/>
    <w:rsid w:val="00EF3B2E"/>
    <w:rsid w:val="00EF54E4"/>
    <w:rsid w:val="00EF58C7"/>
    <w:rsid w:val="00F00D43"/>
    <w:rsid w:val="00F02D94"/>
    <w:rsid w:val="00F10ACB"/>
    <w:rsid w:val="00F1265F"/>
    <w:rsid w:val="00F13EB3"/>
    <w:rsid w:val="00F14915"/>
    <w:rsid w:val="00F1573E"/>
    <w:rsid w:val="00F2658C"/>
    <w:rsid w:val="00F27275"/>
    <w:rsid w:val="00F36F39"/>
    <w:rsid w:val="00F37618"/>
    <w:rsid w:val="00F406EE"/>
    <w:rsid w:val="00F417D8"/>
    <w:rsid w:val="00F53321"/>
    <w:rsid w:val="00F54225"/>
    <w:rsid w:val="00F54A53"/>
    <w:rsid w:val="00F61678"/>
    <w:rsid w:val="00F62745"/>
    <w:rsid w:val="00F73C4E"/>
    <w:rsid w:val="00F76BBA"/>
    <w:rsid w:val="00F770D4"/>
    <w:rsid w:val="00F77D80"/>
    <w:rsid w:val="00F86013"/>
    <w:rsid w:val="00F86AEA"/>
    <w:rsid w:val="00F900C6"/>
    <w:rsid w:val="00F94F0D"/>
    <w:rsid w:val="00F966C5"/>
    <w:rsid w:val="00F97A30"/>
    <w:rsid w:val="00FA2C23"/>
    <w:rsid w:val="00FA40FA"/>
    <w:rsid w:val="00FA4729"/>
    <w:rsid w:val="00FA4BFA"/>
    <w:rsid w:val="00FA710F"/>
    <w:rsid w:val="00FB0A9A"/>
    <w:rsid w:val="00FB0DF1"/>
    <w:rsid w:val="00FB1D5A"/>
    <w:rsid w:val="00FB3AAE"/>
    <w:rsid w:val="00FB5246"/>
    <w:rsid w:val="00FC4178"/>
    <w:rsid w:val="00FC4396"/>
    <w:rsid w:val="00FD49FE"/>
    <w:rsid w:val="00FD527A"/>
    <w:rsid w:val="00FD7819"/>
    <w:rsid w:val="00FE1C61"/>
    <w:rsid w:val="00FE405B"/>
    <w:rsid w:val="00FE48CB"/>
    <w:rsid w:val="00FF7163"/>
    <w:rsid w:val="2F0477BF"/>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pPr>
    <w:rPr>
      <w:rFonts w:eastAsia="仿宋_GB2312" w:asciiTheme="minorHAnsi" w:hAnsiTheme="minorHAnsi" w:cstheme="minorBidi"/>
      <w:kern w:val="2"/>
      <w:sz w:val="32"/>
      <w:szCs w:val="21"/>
      <w:lang w:val="en-US" w:eastAsia="zh-CN" w:bidi="ar-SA"/>
    </w:rPr>
  </w:style>
  <w:style w:type="paragraph" w:styleId="2">
    <w:name w:val="heading 1"/>
    <w:basedOn w:val="1"/>
    <w:next w:val="1"/>
    <w:link w:val="27"/>
    <w:qFormat/>
    <w:uiPriority w:val="0"/>
    <w:pPr>
      <w:keepNext/>
      <w:keepLines/>
      <w:numPr>
        <w:ilvl w:val="0"/>
        <w:numId w:val="1"/>
      </w:numPr>
      <w:spacing w:beforeLines="50" w:afterLines="50"/>
      <w:ind w:firstLineChars="0"/>
      <w:outlineLvl w:val="0"/>
    </w:pPr>
    <w:rPr>
      <w:rFonts w:ascii="Times New Roman" w:hAnsi="Times New Roman" w:eastAsia="黑体" w:cs="Times New Roman"/>
      <w:b/>
      <w:kern w:val="44"/>
      <w:sz w:val="44"/>
      <w:szCs w:val="20"/>
    </w:rPr>
  </w:style>
  <w:style w:type="paragraph" w:styleId="3">
    <w:name w:val="heading 2"/>
    <w:basedOn w:val="1"/>
    <w:next w:val="1"/>
    <w:link w:val="28"/>
    <w:qFormat/>
    <w:uiPriority w:val="0"/>
    <w:pPr>
      <w:keepNext/>
      <w:keepLines/>
      <w:numPr>
        <w:ilvl w:val="1"/>
        <w:numId w:val="1"/>
      </w:numPr>
      <w:tabs>
        <w:tab w:val="left" w:pos="210"/>
      </w:tabs>
      <w:spacing w:beforeLines="50" w:afterLines="50"/>
      <w:ind w:firstLineChars="0"/>
      <w:outlineLvl w:val="1"/>
    </w:pPr>
    <w:rPr>
      <w:rFonts w:ascii="Arial" w:hAnsi="Arial" w:cs="Times New Roman"/>
      <w:b/>
      <w:sz w:val="30"/>
      <w:szCs w:val="20"/>
    </w:rPr>
  </w:style>
  <w:style w:type="paragraph" w:styleId="4">
    <w:name w:val="heading 3"/>
    <w:basedOn w:val="1"/>
    <w:next w:val="1"/>
    <w:link w:val="29"/>
    <w:qFormat/>
    <w:uiPriority w:val="0"/>
    <w:pPr>
      <w:keepNext/>
      <w:keepLines/>
      <w:numPr>
        <w:ilvl w:val="2"/>
        <w:numId w:val="1"/>
      </w:numPr>
      <w:ind w:firstLineChars="0"/>
      <w:outlineLvl w:val="2"/>
    </w:pPr>
    <w:rPr>
      <w:rFonts w:ascii="Times New Roman" w:hAnsi="Times New Roman" w:cs="Times New Roman"/>
      <w:b/>
      <w:szCs w:val="20"/>
    </w:rPr>
  </w:style>
  <w:style w:type="paragraph" w:styleId="5">
    <w:name w:val="heading 4"/>
    <w:basedOn w:val="1"/>
    <w:next w:val="1"/>
    <w:link w:val="30"/>
    <w:qFormat/>
    <w:uiPriority w:val="0"/>
    <w:pPr>
      <w:keepNext/>
      <w:keepLines/>
      <w:outlineLvl w:val="3"/>
    </w:pPr>
    <w:rPr>
      <w:rFonts w:ascii="Arial" w:hAnsi="Arial" w:cs="Times New Roman" w:eastAsiaTheme="minorEastAsia"/>
      <w:b/>
      <w:bCs/>
      <w:szCs w:val="28"/>
    </w:rPr>
  </w:style>
  <w:style w:type="character" w:default="1" w:styleId="22">
    <w:name w:val="Default Paragraph Font"/>
    <w:unhideWhenUsed/>
    <w:uiPriority w:val="1"/>
  </w:style>
  <w:style w:type="table" w:default="1" w:styleId="25">
    <w:name w:val="Normal Table"/>
    <w:unhideWhenUsed/>
    <w:uiPriority w:val="99"/>
    <w:tblPr>
      <w:tblLayout w:type="fixed"/>
      <w:tblCellMar>
        <w:top w:w="0" w:type="dxa"/>
        <w:left w:w="108" w:type="dxa"/>
        <w:bottom w:w="0" w:type="dxa"/>
        <w:right w:w="108" w:type="dxa"/>
      </w:tblCellMar>
    </w:tblPr>
  </w:style>
  <w:style w:type="paragraph" w:styleId="6">
    <w:name w:val="annotation subject"/>
    <w:basedOn w:val="7"/>
    <w:next w:val="7"/>
    <w:link w:val="43"/>
    <w:unhideWhenUsed/>
    <w:uiPriority w:val="99"/>
    <w:rPr>
      <w:b/>
      <w:bCs/>
    </w:rPr>
  </w:style>
  <w:style w:type="paragraph" w:styleId="7">
    <w:name w:val="annotation text"/>
    <w:basedOn w:val="1"/>
    <w:link w:val="42"/>
    <w:unhideWhenUsed/>
    <w:uiPriority w:val="99"/>
  </w:style>
  <w:style w:type="paragraph" w:styleId="8">
    <w:name w:val="toc 7"/>
    <w:basedOn w:val="1"/>
    <w:next w:val="1"/>
    <w:unhideWhenUsed/>
    <w:uiPriority w:val="39"/>
    <w:pPr>
      <w:ind w:left="1920"/>
    </w:pPr>
    <w:rPr>
      <w:sz w:val="18"/>
      <w:szCs w:val="18"/>
    </w:rPr>
  </w:style>
  <w:style w:type="paragraph" w:styleId="9">
    <w:name w:val="Document Map"/>
    <w:basedOn w:val="1"/>
    <w:link w:val="33"/>
    <w:unhideWhenUsed/>
    <w:uiPriority w:val="99"/>
    <w:rPr>
      <w:rFonts w:ascii="宋体"/>
      <w:sz w:val="18"/>
      <w:szCs w:val="18"/>
    </w:rPr>
  </w:style>
  <w:style w:type="paragraph" w:styleId="10">
    <w:name w:val="toc 5"/>
    <w:basedOn w:val="1"/>
    <w:next w:val="1"/>
    <w:unhideWhenUsed/>
    <w:uiPriority w:val="39"/>
    <w:pPr>
      <w:ind w:left="1280"/>
    </w:pPr>
    <w:rPr>
      <w:sz w:val="18"/>
      <w:szCs w:val="18"/>
    </w:rPr>
  </w:style>
  <w:style w:type="paragraph" w:styleId="11">
    <w:name w:val="toc 3"/>
    <w:basedOn w:val="1"/>
    <w:next w:val="1"/>
    <w:unhideWhenUsed/>
    <w:uiPriority w:val="39"/>
    <w:pPr>
      <w:ind w:left="640"/>
    </w:pPr>
    <w:rPr>
      <w:i/>
      <w:iCs/>
      <w:sz w:val="20"/>
      <w:szCs w:val="20"/>
    </w:rPr>
  </w:style>
  <w:style w:type="paragraph" w:styleId="12">
    <w:name w:val="toc 8"/>
    <w:basedOn w:val="1"/>
    <w:next w:val="1"/>
    <w:unhideWhenUsed/>
    <w:uiPriority w:val="39"/>
    <w:pPr>
      <w:ind w:left="2240"/>
    </w:pPr>
    <w:rPr>
      <w:sz w:val="18"/>
      <w:szCs w:val="18"/>
    </w:rPr>
  </w:style>
  <w:style w:type="paragraph" w:styleId="13">
    <w:name w:val="Date"/>
    <w:basedOn w:val="1"/>
    <w:next w:val="1"/>
    <w:link w:val="44"/>
    <w:unhideWhenUsed/>
    <w:uiPriority w:val="99"/>
    <w:pPr>
      <w:ind w:left="100" w:leftChars="2500"/>
    </w:pPr>
  </w:style>
  <w:style w:type="paragraph" w:styleId="14">
    <w:name w:val="Balloon Text"/>
    <w:basedOn w:val="1"/>
    <w:link w:val="40"/>
    <w:unhideWhenUsed/>
    <w:uiPriority w:val="99"/>
    <w:rPr>
      <w:sz w:val="18"/>
      <w:szCs w:val="18"/>
    </w:rPr>
  </w:style>
  <w:style w:type="paragraph" w:styleId="15">
    <w:name w:val="footer"/>
    <w:basedOn w:val="1"/>
    <w:link w:val="32"/>
    <w:unhideWhenUsed/>
    <w:uiPriority w:val="99"/>
    <w:pPr>
      <w:pBdr>
        <w:top w:val="thickThinSmallGap" w:color="auto" w:sz="12" w:space="1"/>
      </w:pBdr>
      <w:tabs>
        <w:tab w:val="center" w:pos="4153"/>
        <w:tab w:val="right" w:pos="8306"/>
      </w:tabs>
      <w:snapToGrid w:val="0"/>
    </w:pPr>
    <w:rPr>
      <w:sz w:val="18"/>
      <w:szCs w:val="18"/>
    </w:rPr>
  </w:style>
  <w:style w:type="paragraph" w:styleId="16">
    <w:name w:val="header"/>
    <w:basedOn w:val="1"/>
    <w:link w:val="31"/>
    <w:unhideWhenUsed/>
    <w:uiPriority w:val="0"/>
    <w:pPr>
      <w:pBdr>
        <w:bottom w:val="single" w:color="auto" w:sz="6" w:space="1"/>
      </w:pBdr>
      <w:tabs>
        <w:tab w:val="center" w:pos="4153"/>
        <w:tab w:val="right" w:pos="8306"/>
      </w:tabs>
      <w:snapToGrid w:val="0"/>
      <w:ind w:firstLine="0" w:firstLineChars="0"/>
    </w:pPr>
    <w:rPr>
      <w:sz w:val="18"/>
      <w:szCs w:val="18"/>
    </w:rPr>
  </w:style>
  <w:style w:type="paragraph" w:styleId="17">
    <w:name w:val="toc 1"/>
    <w:basedOn w:val="1"/>
    <w:next w:val="1"/>
    <w:unhideWhenUsed/>
    <w:uiPriority w:val="39"/>
    <w:pPr>
      <w:spacing w:before="120" w:after="120"/>
    </w:pPr>
    <w:rPr>
      <w:b/>
      <w:bCs/>
      <w:caps/>
      <w:sz w:val="20"/>
      <w:szCs w:val="20"/>
    </w:rPr>
  </w:style>
  <w:style w:type="paragraph" w:styleId="18">
    <w:name w:val="toc 4"/>
    <w:basedOn w:val="1"/>
    <w:next w:val="1"/>
    <w:unhideWhenUsed/>
    <w:uiPriority w:val="39"/>
    <w:pPr>
      <w:ind w:left="960"/>
    </w:pPr>
    <w:rPr>
      <w:sz w:val="18"/>
      <w:szCs w:val="18"/>
    </w:rPr>
  </w:style>
  <w:style w:type="paragraph" w:styleId="19">
    <w:name w:val="toc 6"/>
    <w:basedOn w:val="1"/>
    <w:next w:val="1"/>
    <w:unhideWhenUsed/>
    <w:uiPriority w:val="39"/>
    <w:pPr>
      <w:ind w:left="1600"/>
    </w:pPr>
    <w:rPr>
      <w:sz w:val="18"/>
      <w:szCs w:val="18"/>
    </w:rPr>
  </w:style>
  <w:style w:type="paragraph" w:styleId="20">
    <w:name w:val="toc 2"/>
    <w:basedOn w:val="1"/>
    <w:next w:val="1"/>
    <w:unhideWhenUsed/>
    <w:uiPriority w:val="39"/>
    <w:pPr>
      <w:ind w:left="320"/>
    </w:pPr>
    <w:rPr>
      <w:smallCaps/>
      <w:sz w:val="20"/>
      <w:szCs w:val="20"/>
    </w:rPr>
  </w:style>
  <w:style w:type="paragraph" w:styleId="21">
    <w:name w:val="toc 9"/>
    <w:basedOn w:val="1"/>
    <w:next w:val="1"/>
    <w:unhideWhenUsed/>
    <w:uiPriority w:val="39"/>
    <w:pPr>
      <w:ind w:left="2560"/>
    </w:pPr>
    <w:rPr>
      <w:sz w:val="18"/>
      <w:szCs w:val="18"/>
    </w:rPr>
  </w:style>
  <w:style w:type="character" w:styleId="23">
    <w:name w:val="page number"/>
    <w:basedOn w:val="22"/>
    <w:semiHidden/>
    <w:uiPriority w:val="0"/>
  </w:style>
  <w:style w:type="character" w:styleId="24">
    <w:name w:val="Hyperlink"/>
    <w:basedOn w:val="22"/>
    <w:unhideWhenUsed/>
    <w:uiPriority w:val="99"/>
    <w:rPr>
      <w:color w:val="0000FF" w:themeColor="hyperlink"/>
      <w:u w:val="single"/>
      <w14:textFill>
        <w14:solidFill>
          <w14:schemeClr w14:val="hlink"/>
        </w14:solidFill>
      </w14:textFill>
    </w:rPr>
  </w:style>
  <w:style w:type="table" w:styleId="26">
    <w:name w:val="Table Grid"/>
    <w:basedOn w:val="25"/>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character" w:customStyle="1" w:styleId="27">
    <w:name w:val="标题 1 Char"/>
    <w:basedOn w:val="22"/>
    <w:link w:val="2"/>
    <w:uiPriority w:val="0"/>
    <w:rPr>
      <w:rFonts w:ascii="Times New Roman" w:hAnsi="Times New Roman" w:eastAsia="黑体" w:cs="Times New Roman"/>
      <w:b/>
      <w:kern w:val="44"/>
      <w:sz w:val="44"/>
      <w:szCs w:val="20"/>
    </w:rPr>
  </w:style>
  <w:style w:type="character" w:customStyle="1" w:styleId="28">
    <w:name w:val="标题 2 Char"/>
    <w:basedOn w:val="22"/>
    <w:link w:val="3"/>
    <w:uiPriority w:val="0"/>
    <w:rPr>
      <w:rFonts w:ascii="Arial" w:hAnsi="Arial" w:eastAsia="仿宋_GB2312" w:cs="Times New Roman"/>
      <w:b/>
      <w:sz w:val="30"/>
      <w:szCs w:val="20"/>
    </w:rPr>
  </w:style>
  <w:style w:type="character" w:customStyle="1" w:styleId="29">
    <w:name w:val="标题 3 Char"/>
    <w:basedOn w:val="22"/>
    <w:link w:val="4"/>
    <w:uiPriority w:val="0"/>
    <w:rPr>
      <w:rFonts w:ascii="Times New Roman" w:hAnsi="Times New Roman" w:eastAsia="仿宋_GB2312" w:cs="Times New Roman"/>
      <w:b/>
      <w:sz w:val="32"/>
      <w:szCs w:val="20"/>
    </w:rPr>
  </w:style>
  <w:style w:type="character" w:customStyle="1" w:styleId="30">
    <w:name w:val="标题 4 Char"/>
    <w:basedOn w:val="22"/>
    <w:link w:val="5"/>
    <w:uiPriority w:val="0"/>
    <w:rPr>
      <w:rFonts w:ascii="Arial" w:hAnsi="Arial" w:cs="Times New Roman"/>
      <w:b/>
      <w:bCs/>
      <w:sz w:val="28"/>
      <w:szCs w:val="28"/>
    </w:rPr>
  </w:style>
  <w:style w:type="character" w:customStyle="1" w:styleId="31">
    <w:name w:val="页眉 Char"/>
    <w:basedOn w:val="22"/>
    <w:link w:val="16"/>
    <w:uiPriority w:val="0"/>
    <w:rPr>
      <w:rFonts w:eastAsia="仿宋_GB2312"/>
      <w:sz w:val="18"/>
      <w:szCs w:val="18"/>
    </w:rPr>
  </w:style>
  <w:style w:type="character" w:customStyle="1" w:styleId="32">
    <w:name w:val="页脚 Char"/>
    <w:basedOn w:val="22"/>
    <w:link w:val="15"/>
    <w:uiPriority w:val="99"/>
    <w:rPr>
      <w:rFonts w:eastAsia="楷体_GB2312"/>
      <w:sz w:val="18"/>
      <w:szCs w:val="18"/>
    </w:rPr>
  </w:style>
  <w:style w:type="character" w:customStyle="1" w:styleId="33">
    <w:name w:val="文档结构图 Char"/>
    <w:basedOn w:val="22"/>
    <w:link w:val="9"/>
    <w:semiHidden/>
    <w:uiPriority w:val="99"/>
    <w:rPr>
      <w:rFonts w:ascii="宋体" w:eastAsia="宋体"/>
      <w:sz w:val="18"/>
      <w:szCs w:val="18"/>
    </w:rPr>
  </w:style>
  <w:style w:type="paragraph" w:customStyle="1" w:styleId="34">
    <w:name w:val="表头"/>
    <w:basedOn w:val="1"/>
    <w:link w:val="35"/>
    <w:uiPriority w:val="0"/>
    <w:pPr>
      <w:spacing w:beforeLines="100" w:afterLines="50"/>
      <w:ind w:firstLine="0" w:firstLineChars="0"/>
      <w:jc w:val="center"/>
    </w:pPr>
    <w:rPr>
      <w:rFonts w:ascii="Times New Roman" w:hAnsi="Times New Roman" w:cs="Times New Roman"/>
      <w:b/>
      <w:sz w:val="24"/>
      <w:szCs w:val="24"/>
    </w:rPr>
  </w:style>
  <w:style w:type="character" w:customStyle="1" w:styleId="35">
    <w:name w:val="表头 Char"/>
    <w:basedOn w:val="22"/>
    <w:link w:val="34"/>
    <w:uiPriority w:val="0"/>
    <w:rPr>
      <w:rFonts w:ascii="Times New Roman" w:hAnsi="Times New Roman" w:eastAsia="宋体" w:cs="Times New Roman"/>
      <w:b/>
      <w:sz w:val="24"/>
      <w:szCs w:val="24"/>
    </w:rPr>
  </w:style>
  <w:style w:type="paragraph" w:customStyle="1" w:styleId="36">
    <w:name w:val="图头"/>
    <w:basedOn w:val="1"/>
    <w:link w:val="37"/>
    <w:uiPriority w:val="0"/>
    <w:pPr>
      <w:spacing w:beforeLines="50" w:afterLines="100"/>
      <w:ind w:firstLine="0" w:firstLineChars="0"/>
      <w:jc w:val="center"/>
    </w:pPr>
    <w:rPr>
      <w:rFonts w:ascii="Times New Roman" w:hAnsi="Times New Roman" w:cs="Times New Roman"/>
      <w:b/>
      <w:sz w:val="24"/>
      <w:szCs w:val="24"/>
    </w:rPr>
  </w:style>
  <w:style w:type="character" w:customStyle="1" w:styleId="37">
    <w:name w:val="图头 Char"/>
    <w:basedOn w:val="22"/>
    <w:link w:val="36"/>
    <w:uiPriority w:val="0"/>
    <w:rPr>
      <w:rFonts w:ascii="Times New Roman" w:hAnsi="Times New Roman" w:eastAsia="宋体" w:cs="Times New Roman"/>
      <w:b/>
      <w:sz w:val="24"/>
      <w:szCs w:val="24"/>
    </w:rPr>
  </w:style>
  <w:style w:type="character" w:customStyle="1" w:styleId="38">
    <w:name w:val="图 Char"/>
    <w:basedOn w:val="22"/>
    <w:link w:val="39"/>
    <w:uiPriority w:val="0"/>
    <w:rPr>
      <w:rFonts w:eastAsia="宋体"/>
      <w:sz w:val="28"/>
      <w:szCs w:val="24"/>
    </w:rPr>
  </w:style>
  <w:style w:type="paragraph" w:customStyle="1" w:styleId="39">
    <w:name w:val="图"/>
    <w:basedOn w:val="1"/>
    <w:link w:val="38"/>
    <w:uiPriority w:val="0"/>
    <w:pPr>
      <w:ind w:firstLine="0" w:firstLineChars="0"/>
      <w:jc w:val="center"/>
    </w:pPr>
    <w:rPr>
      <w:szCs w:val="24"/>
    </w:rPr>
  </w:style>
  <w:style w:type="character" w:customStyle="1" w:styleId="40">
    <w:name w:val="批注框文本 Char"/>
    <w:basedOn w:val="22"/>
    <w:link w:val="14"/>
    <w:semiHidden/>
    <w:uiPriority w:val="99"/>
    <w:rPr>
      <w:rFonts w:eastAsia="楷体_GB2312"/>
      <w:sz w:val="18"/>
      <w:szCs w:val="18"/>
    </w:rPr>
  </w:style>
  <w:style w:type="paragraph" w:customStyle="1" w:styleId="41">
    <w:name w:val="List Paragraph"/>
    <w:basedOn w:val="1"/>
    <w:qFormat/>
    <w:uiPriority w:val="34"/>
    <w:pPr>
      <w:ind w:firstLine="420"/>
      <w:jc w:val="both"/>
    </w:pPr>
    <w:rPr>
      <w:rFonts w:eastAsiaTheme="minorEastAsia"/>
      <w:sz w:val="21"/>
      <w:szCs w:val="22"/>
    </w:rPr>
  </w:style>
  <w:style w:type="character" w:customStyle="1" w:styleId="42">
    <w:name w:val="批注文字 Char"/>
    <w:basedOn w:val="22"/>
    <w:link w:val="7"/>
    <w:semiHidden/>
    <w:uiPriority w:val="99"/>
    <w:rPr>
      <w:rFonts w:eastAsia="仿宋_GB2312"/>
      <w:sz w:val="32"/>
    </w:rPr>
  </w:style>
  <w:style w:type="character" w:customStyle="1" w:styleId="43">
    <w:name w:val="批注主题 Char"/>
    <w:basedOn w:val="42"/>
    <w:link w:val="6"/>
    <w:semiHidden/>
    <w:uiPriority w:val="99"/>
    <w:rPr>
      <w:rFonts w:eastAsia="仿宋_GB2312"/>
      <w:b/>
      <w:bCs/>
      <w:sz w:val="32"/>
    </w:rPr>
  </w:style>
  <w:style w:type="character" w:customStyle="1" w:styleId="44">
    <w:name w:val="日期 Char"/>
    <w:basedOn w:val="22"/>
    <w:link w:val="13"/>
    <w:semiHidden/>
    <w:uiPriority w:val="99"/>
    <w:rPr>
      <w:rFonts w:eastAsia="仿宋_GB2312"/>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AF4FFE-58D4-4A70-B99D-BCC82A01B2C3}">
  <ds:schemaRefs/>
</ds:datastoreItem>
</file>

<file path=docProps/app.xml><?xml version="1.0" encoding="utf-8"?>
<Properties xmlns="http://schemas.openxmlformats.org/officeDocument/2006/extended-properties" xmlns:vt="http://schemas.openxmlformats.org/officeDocument/2006/docPropsVTypes">
  <Template>Normal.dotm</Template>
  <Company>交通部科学研究院现代物流研发中心</Company>
  <Pages>21</Pages>
  <Words>1567</Words>
  <Characters>8935</Characters>
  <Lines>74</Lines>
  <Paragraphs>20</Paragraphs>
  <TotalTime>0</TotalTime>
  <ScaleCrop>false</ScaleCrop>
  <LinksUpToDate>false</LinksUpToDate>
  <CharactersWithSpaces>10482</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2017-03-06T08:21:00Z</dcterms:created>
  <dc:creator>宋昊</dc:creator>
  <cp:lastModifiedBy>Administrator</cp:lastModifiedBy>
  <cp:lastPrinted>2017-02-28T00:45:00Z</cp:lastPrinted>
  <dcterms:modified xsi:type="dcterms:W3CDTF">2017-03-06T08:48:16Z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